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C93836">
        <w:rPr>
          <w:rFonts w:ascii="Arial" w:hAnsi="Arial" w:cs="Arial"/>
          <w:color w:val="4BACC6" w:themeColor="accent5"/>
          <w:sz w:val="24"/>
          <w:szCs w:val="24"/>
        </w:rPr>
        <w:t>dieci</w:t>
      </w:r>
      <w:r w:rsidR="009C5040">
        <w:rPr>
          <w:rFonts w:ascii="Arial" w:hAnsi="Arial" w:cs="Arial"/>
          <w:color w:val="4BACC6" w:themeColor="accent5"/>
          <w:sz w:val="24"/>
          <w:szCs w:val="24"/>
        </w:rPr>
        <w:t>nueve</w:t>
      </w:r>
      <w:bookmarkStart w:id="1" w:name="_GoBack"/>
      <w:bookmarkEnd w:id="1"/>
      <w:r w:rsidR="00C93836">
        <w:rPr>
          <w:rFonts w:ascii="Arial" w:hAnsi="Arial" w:cs="Arial"/>
          <w:color w:val="4BACC6" w:themeColor="accent5"/>
          <w:sz w:val="24"/>
          <w:szCs w:val="24"/>
        </w:rPr>
        <w:t xml:space="preserve"> de julio </w:t>
      </w:r>
      <w:r w:rsidR="00BA353F" w:rsidRPr="00976F0C">
        <w:rPr>
          <w:rFonts w:ascii="Arial" w:hAnsi="Arial" w:cs="Arial"/>
          <w:color w:val="4BACC6" w:themeColor="accent5"/>
          <w:sz w:val="24"/>
          <w:szCs w:val="24"/>
        </w:rPr>
        <w:t>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Default="0038176B" w:rsidP="00C93836">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C93836" w:rsidRPr="00976F0C" w:rsidRDefault="00C93836" w:rsidP="00C93836">
      <w:pPr>
        <w:spacing w:after="0" w:line="360" w:lineRule="auto"/>
        <w:ind w:firstLine="708"/>
        <w:jc w:val="both"/>
        <w:rPr>
          <w:rFonts w:ascii="Arial" w:hAnsi="Arial" w:cs="Arial"/>
          <w:color w:val="4BACC6" w:themeColor="accent5"/>
          <w:sz w:val="24"/>
          <w:szCs w:val="24"/>
        </w:rPr>
      </w:pPr>
    </w:p>
    <w:p w:rsidR="002D371A" w:rsidRDefault="001A14C5" w:rsidP="00C93836">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rimer lugar, es necesario insertar los efectos dictados en la resolución:</w:t>
      </w:r>
    </w:p>
    <w:p w:rsidR="00C93836" w:rsidRPr="00976F0C" w:rsidRDefault="00C93836" w:rsidP="00C93836">
      <w:pPr>
        <w:spacing w:after="0" w:line="360" w:lineRule="auto"/>
        <w:ind w:firstLine="708"/>
        <w:jc w:val="both"/>
        <w:rPr>
          <w:rFonts w:ascii="Arial" w:hAnsi="Arial" w:cs="Arial"/>
          <w:color w:val="4BACC6" w:themeColor="accent5"/>
          <w:sz w:val="24"/>
          <w:szCs w:val="24"/>
        </w:rPr>
      </w:pPr>
    </w:p>
    <w:p w:rsidR="00090736" w:rsidRPr="00976F0C" w:rsidRDefault="00090736" w:rsidP="00005CB2">
      <w:pPr>
        <w:pStyle w:val="corte4fondo"/>
        <w:tabs>
          <w:tab w:val="left" w:pos="567"/>
        </w:tabs>
        <w:rPr>
          <w:rFonts w:cs="Arial"/>
          <w:i/>
          <w:color w:val="4BACC6" w:themeColor="accent5"/>
          <w:sz w:val="20"/>
        </w:rPr>
      </w:pPr>
      <w:r w:rsidRPr="00976F0C">
        <w:rPr>
          <w:rFonts w:cs="Arial"/>
          <w:i/>
          <w:color w:val="4BACC6" w:themeColor="accent5"/>
          <w:sz w:val="20"/>
        </w:rPr>
        <w:t>“…</w:t>
      </w:r>
      <w:r w:rsidR="003A0C4D">
        <w:rPr>
          <w:rFonts w:cs="Arial"/>
          <w:i/>
          <w:color w:val="4BACC6" w:themeColor="accent5"/>
          <w:sz w:val="20"/>
        </w:rPr>
        <w:t>6</w:t>
      </w:r>
      <w:r w:rsidRPr="00976F0C">
        <w:rPr>
          <w:rFonts w:cs="Arial"/>
          <w:i/>
          <w:color w:val="4BACC6" w:themeColor="accent5"/>
          <w:sz w:val="20"/>
        </w:rPr>
        <w:t>.</w:t>
      </w:r>
      <w:r w:rsidR="00C93836">
        <w:rPr>
          <w:rFonts w:cs="Arial"/>
          <w:i/>
          <w:color w:val="4BACC6" w:themeColor="accent5"/>
          <w:sz w:val="20"/>
        </w:rPr>
        <w:t>1</w:t>
      </w:r>
      <w:r w:rsidRPr="00976F0C">
        <w:rPr>
          <w:rFonts w:cs="Arial"/>
          <w:i/>
          <w:color w:val="4BACC6" w:themeColor="accent5"/>
          <w:sz w:val="20"/>
        </w:rPr>
        <w:t xml:space="preserve">. </w:t>
      </w:r>
      <w:r w:rsidR="009A7C5B">
        <w:rPr>
          <w:rFonts w:cs="Arial"/>
          <w:i/>
          <w:color w:val="4BACC6" w:themeColor="accent5"/>
          <w:sz w:val="20"/>
        </w:rPr>
        <w:t>Sentido y e</w:t>
      </w:r>
      <w:r w:rsidR="00785DA9" w:rsidRPr="00976F0C">
        <w:rPr>
          <w:rFonts w:cs="Arial"/>
          <w:i/>
          <w:color w:val="4BACC6" w:themeColor="accent5"/>
          <w:sz w:val="20"/>
        </w:rPr>
        <w:t xml:space="preserve">fectos </w:t>
      </w:r>
      <w:r w:rsidRPr="00976F0C">
        <w:rPr>
          <w:rFonts w:cs="Arial"/>
          <w:i/>
          <w:color w:val="4BACC6" w:themeColor="accent5"/>
          <w:sz w:val="20"/>
        </w:rPr>
        <w:t xml:space="preserve">de </w:t>
      </w:r>
      <w:r w:rsidR="003A0C4D">
        <w:rPr>
          <w:rFonts w:cs="Arial"/>
          <w:i/>
          <w:color w:val="4BACC6" w:themeColor="accent5"/>
          <w:sz w:val="20"/>
        </w:rPr>
        <w:t xml:space="preserve">esta </w:t>
      </w:r>
      <w:r w:rsidRPr="00976F0C">
        <w:rPr>
          <w:rFonts w:cs="Arial"/>
          <w:i/>
          <w:color w:val="4BACC6" w:themeColor="accent5"/>
          <w:sz w:val="20"/>
        </w:rPr>
        <w:t>resolución.</w:t>
      </w:r>
    </w:p>
    <w:p w:rsidR="00C93836" w:rsidRDefault="00C93836" w:rsidP="00005CB2">
      <w:pPr>
        <w:pStyle w:val="corte4fondo"/>
        <w:tabs>
          <w:tab w:val="left" w:pos="567"/>
        </w:tabs>
        <w:rPr>
          <w:rFonts w:cs="Arial"/>
          <w:i/>
          <w:color w:val="4BACC6" w:themeColor="accent5"/>
          <w:sz w:val="20"/>
        </w:rPr>
      </w:pPr>
    </w:p>
    <w:p w:rsidR="003A0C4D" w:rsidRDefault="003A0C4D" w:rsidP="00005CB2">
      <w:pPr>
        <w:pStyle w:val="corte4fondo"/>
        <w:tabs>
          <w:tab w:val="left" w:pos="567"/>
        </w:tabs>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de </w:t>
      </w:r>
      <w:r w:rsidR="00785DA9" w:rsidRPr="00976F0C">
        <w:rPr>
          <w:rFonts w:cs="Arial"/>
          <w:i/>
          <w:color w:val="4BACC6" w:themeColor="accent5"/>
          <w:sz w:val="20"/>
        </w:rPr>
        <w:t xml:space="preserve">conformidad con el </w:t>
      </w:r>
      <w:r w:rsidR="00090736" w:rsidRPr="00976F0C">
        <w:rPr>
          <w:rFonts w:cs="Arial"/>
          <w:i/>
          <w:color w:val="4BACC6" w:themeColor="accent5"/>
          <w:sz w:val="20"/>
        </w:rPr>
        <w:t>artículo 1</w:t>
      </w:r>
      <w:r w:rsidR="009A7C5B">
        <w:rPr>
          <w:rFonts w:cs="Arial"/>
          <w:i/>
          <w:color w:val="4BACC6" w:themeColor="accent5"/>
          <w:sz w:val="20"/>
        </w:rPr>
        <w:t xml:space="preserve">75, fracción III, </w:t>
      </w:r>
      <w:r w:rsidR="00090736" w:rsidRPr="00976F0C">
        <w:rPr>
          <w:rFonts w:cs="Arial"/>
          <w:i/>
          <w:color w:val="4BACC6" w:themeColor="accent5"/>
          <w:sz w:val="20"/>
        </w:rPr>
        <w:t xml:space="preserve">de la Ley de Transparencia y Acceso a la Información Pública </w:t>
      </w:r>
      <w:r w:rsidR="003047E5" w:rsidRPr="00976F0C">
        <w:rPr>
          <w:rFonts w:cs="Arial"/>
          <w:i/>
          <w:color w:val="4BACC6" w:themeColor="accent5"/>
          <w:sz w:val="20"/>
        </w:rPr>
        <w:t xml:space="preserve">del Estado </w:t>
      </w:r>
      <w:r>
        <w:rPr>
          <w:rFonts w:cs="Arial"/>
          <w:b/>
          <w:i/>
          <w:color w:val="4BACC6" w:themeColor="accent5"/>
          <w:sz w:val="20"/>
        </w:rPr>
        <w:t xml:space="preserve">MODIFICA </w:t>
      </w:r>
      <w:r w:rsidR="009A7C5B">
        <w:rPr>
          <w:rFonts w:cs="Arial"/>
          <w:i/>
          <w:color w:val="4BACC6" w:themeColor="accent5"/>
          <w:sz w:val="20"/>
        </w:rPr>
        <w:t xml:space="preserve">la respuesta </w:t>
      </w:r>
      <w:r w:rsidR="00C93836">
        <w:rPr>
          <w:rFonts w:cs="Arial"/>
          <w:i/>
          <w:color w:val="4BACC6" w:themeColor="accent5"/>
          <w:sz w:val="20"/>
        </w:rPr>
        <w:t xml:space="preserve">de la autoridad y lo </w:t>
      </w:r>
      <w:r>
        <w:rPr>
          <w:rFonts w:cs="Arial"/>
          <w:i/>
          <w:color w:val="4BACC6" w:themeColor="accent5"/>
          <w:sz w:val="20"/>
        </w:rPr>
        <w:t>conmina para que:</w:t>
      </w:r>
    </w:p>
    <w:p w:rsidR="00C93836" w:rsidRDefault="00C93836" w:rsidP="00005CB2">
      <w:pPr>
        <w:pStyle w:val="corte4fondo"/>
        <w:tabs>
          <w:tab w:val="left" w:pos="567"/>
        </w:tabs>
        <w:rPr>
          <w:rFonts w:cs="Arial"/>
          <w:i/>
          <w:color w:val="4BACC6" w:themeColor="accent5"/>
          <w:sz w:val="20"/>
        </w:rPr>
      </w:pPr>
    </w:p>
    <w:p w:rsidR="003047E5" w:rsidRPr="00976F0C" w:rsidRDefault="003A0C4D" w:rsidP="00005CB2">
      <w:pPr>
        <w:pStyle w:val="corte4fondo"/>
        <w:tabs>
          <w:tab w:val="left" w:pos="567"/>
        </w:tabs>
        <w:rPr>
          <w:rFonts w:cs="Arial"/>
          <w:i/>
          <w:color w:val="4BACC6" w:themeColor="accent5"/>
          <w:sz w:val="18"/>
          <w:szCs w:val="18"/>
        </w:rPr>
      </w:pPr>
      <w:r>
        <w:rPr>
          <w:rFonts w:cs="Arial"/>
          <w:i/>
          <w:color w:val="4BACC6" w:themeColor="accent5"/>
          <w:sz w:val="20"/>
        </w:rPr>
        <w:t xml:space="preserve"> </w:t>
      </w:r>
      <w:r w:rsidR="00090736" w:rsidRPr="00976F0C">
        <w:rPr>
          <w:rFonts w:cs="Arial"/>
          <w:i/>
          <w:color w:val="4BACC6" w:themeColor="accent5"/>
          <w:sz w:val="20"/>
        </w:rPr>
        <w:t xml:space="preserve">  </w:t>
      </w:r>
      <w:r>
        <w:rPr>
          <w:rFonts w:cs="Arial"/>
          <w:i/>
          <w:color w:val="4BACC6" w:themeColor="accent5"/>
          <w:sz w:val="20"/>
        </w:rPr>
        <w:t>6.</w:t>
      </w:r>
      <w:r w:rsidR="00C93836">
        <w:rPr>
          <w:rFonts w:cs="Arial"/>
          <w:i/>
          <w:color w:val="4BACC6" w:themeColor="accent5"/>
          <w:sz w:val="20"/>
        </w:rPr>
        <w:t>2</w:t>
      </w:r>
      <w:r>
        <w:rPr>
          <w:rFonts w:cs="Arial"/>
          <w:i/>
          <w:color w:val="4BACC6" w:themeColor="accent5"/>
          <w:sz w:val="20"/>
        </w:rPr>
        <w:t xml:space="preserve">.1. </w:t>
      </w:r>
      <w:r w:rsidR="00C93836">
        <w:rPr>
          <w:rFonts w:cs="Arial"/>
          <w:i/>
          <w:color w:val="4BACC6" w:themeColor="accent5"/>
          <w:sz w:val="20"/>
        </w:rPr>
        <w:t>Realice el procedimiento establecido en el artículo 159 de la Ley de la materia, y notifique al particular la resolución del Comité de Transparencia respecto a la clasificación de los 152 ciento cincuenta y dos documentos en los que consta la información solicitada y que de acuerdo a la autoridad, contienen datos confidenciales, para que una vez que reciban el pago de las 132 ciento treinta y dos fojas de las que se cobró la reproducción, para que proceda a la elaboración de la versión pública correspondiente y a su entrega</w:t>
      </w:r>
      <w:r>
        <w:rPr>
          <w:rFonts w:cs="Arial"/>
          <w:i/>
          <w:color w:val="4BACC6" w:themeColor="accent5"/>
          <w:sz w:val="20"/>
        </w:rPr>
        <w:t>.” (sic)</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Default="002231D3" w:rsidP="00803BF0">
      <w:pPr>
        <w:pStyle w:val="corte4fondo"/>
        <w:tabs>
          <w:tab w:val="left" w:pos="567"/>
        </w:tabs>
        <w:spacing w:line="240" w:lineRule="auto"/>
        <w:ind w:firstLine="0"/>
        <w:rPr>
          <w:rFonts w:cs="Arial"/>
          <w:i/>
          <w:color w:val="4BACC6" w:themeColor="accent5"/>
          <w:sz w:val="20"/>
        </w:rPr>
      </w:pPr>
    </w:p>
    <w:p w:rsidR="00C93836" w:rsidRPr="00976F0C" w:rsidRDefault="00C93836" w:rsidP="00803BF0">
      <w:pPr>
        <w:pStyle w:val="corte4fondo"/>
        <w:tabs>
          <w:tab w:val="left" w:pos="567"/>
        </w:tabs>
        <w:spacing w:line="240" w:lineRule="auto"/>
        <w:ind w:firstLine="0"/>
        <w:rPr>
          <w:rFonts w:cs="Arial"/>
          <w:i/>
          <w:color w:val="4BACC6" w:themeColor="accent5"/>
          <w:sz w:val="20"/>
        </w:rPr>
      </w:pPr>
    </w:p>
    <w:p w:rsidR="00515323"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w:t>
      </w:r>
      <w:r w:rsidR="005B45EA">
        <w:rPr>
          <w:rFonts w:ascii="Arial" w:hAnsi="Arial" w:cs="Arial"/>
          <w:color w:val="4BACC6" w:themeColor="accent5"/>
          <w:sz w:val="24"/>
          <w:szCs w:val="24"/>
        </w:rPr>
        <w:t xml:space="preserve"> otra parte</w:t>
      </w:r>
      <w:r w:rsidRPr="00976F0C">
        <w:rPr>
          <w:rFonts w:ascii="Arial" w:hAnsi="Arial" w:cs="Arial"/>
          <w:color w:val="4BACC6" w:themeColor="accent5"/>
          <w:sz w:val="24"/>
          <w:szCs w:val="24"/>
        </w:rPr>
        <w:t>,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A57ACC">
        <w:rPr>
          <w:rFonts w:ascii="Arial" w:hAnsi="Arial" w:cs="Arial"/>
          <w:color w:val="4BACC6" w:themeColor="accent5"/>
          <w:sz w:val="24"/>
          <w:szCs w:val="24"/>
        </w:rPr>
        <w:t xml:space="preserve">oficio </w:t>
      </w:r>
      <w:r w:rsidR="007E0EB2">
        <w:rPr>
          <w:rFonts w:ascii="Arial" w:hAnsi="Arial" w:cs="Arial"/>
          <w:color w:val="4BACC6" w:themeColor="accent5"/>
          <w:sz w:val="24"/>
          <w:szCs w:val="24"/>
        </w:rPr>
        <w:t>U</w:t>
      </w:r>
      <w:r w:rsidR="005F6634">
        <w:rPr>
          <w:rFonts w:ascii="Arial" w:hAnsi="Arial" w:cs="Arial"/>
          <w:color w:val="4BACC6" w:themeColor="accent5"/>
          <w:sz w:val="24"/>
          <w:szCs w:val="24"/>
        </w:rPr>
        <w:t>.</w:t>
      </w:r>
      <w:r w:rsidR="007E0EB2">
        <w:rPr>
          <w:rFonts w:ascii="Arial" w:hAnsi="Arial" w:cs="Arial"/>
          <w:color w:val="4BACC6" w:themeColor="accent5"/>
          <w:sz w:val="24"/>
          <w:szCs w:val="24"/>
        </w:rPr>
        <w:t>T</w:t>
      </w:r>
      <w:r w:rsidR="005F6634">
        <w:rPr>
          <w:rFonts w:ascii="Arial" w:hAnsi="Arial" w:cs="Arial"/>
          <w:color w:val="4BACC6" w:themeColor="accent5"/>
          <w:sz w:val="24"/>
          <w:szCs w:val="24"/>
        </w:rPr>
        <w:t>.</w:t>
      </w:r>
      <w:r w:rsidR="005B45EA">
        <w:rPr>
          <w:rFonts w:ascii="Arial" w:hAnsi="Arial" w:cs="Arial"/>
          <w:color w:val="4BACC6" w:themeColor="accent5"/>
          <w:sz w:val="24"/>
          <w:szCs w:val="24"/>
        </w:rPr>
        <w:t>0817</w:t>
      </w:r>
      <w:r w:rsidR="007E0EB2">
        <w:rPr>
          <w:rFonts w:ascii="Arial" w:hAnsi="Arial" w:cs="Arial"/>
          <w:color w:val="4BACC6" w:themeColor="accent5"/>
          <w:sz w:val="24"/>
          <w:szCs w:val="24"/>
        </w:rPr>
        <w:t>/1</w:t>
      </w:r>
      <w:r w:rsidR="005B45EA">
        <w:rPr>
          <w:rFonts w:ascii="Arial" w:hAnsi="Arial" w:cs="Arial"/>
          <w:color w:val="4BACC6" w:themeColor="accent5"/>
          <w:sz w:val="24"/>
          <w:szCs w:val="24"/>
        </w:rPr>
        <w:t>8</w:t>
      </w:r>
      <w:r w:rsidR="00ED382A" w:rsidRPr="00976F0C">
        <w:rPr>
          <w:rFonts w:ascii="Arial" w:hAnsi="Arial" w:cs="Arial"/>
          <w:color w:val="4BACC6" w:themeColor="accent5"/>
          <w:sz w:val="24"/>
          <w:szCs w:val="24"/>
        </w:rPr>
        <w:t xml:space="preserve"> </w:t>
      </w:r>
      <w:r w:rsidR="005B45EA">
        <w:rPr>
          <w:rFonts w:ascii="Arial" w:hAnsi="Arial" w:cs="Arial"/>
          <w:color w:val="4BACC6" w:themeColor="accent5"/>
          <w:sz w:val="24"/>
          <w:szCs w:val="24"/>
        </w:rPr>
        <w:t xml:space="preserve">en alcance del diverso U.T.0611/18 </w:t>
      </w:r>
      <w:r w:rsidR="00ED382A" w:rsidRPr="00976F0C">
        <w:rPr>
          <w:rFonts w:ascii="Arial" w:hAnsi="Arial" w:cs="Arial"/>
          <w:color w:val="4BACC6" w:themeColor="accent5"/>
          <w:sz w:val="24"/>
          <w:szCs w:val="24"/>
        </w:rPr>
        <w:t>signado por l</w:t>
      </w:r>
      <w:r w:rsidR="005F6634">
        <w:rPr>
          <w:rFonts w:ascii="Arial" w:hAnsi="Arial" w:cs="Arial"/>
          <w:color w:val="4BACC6" w:themeColor="accent5"/>
          <w:sz w:val="24"/>
          <w:szCs w:val="24"/>
        </w:rPr>
        <w:t>a</w:t>
      </w:r>
      <w:r w:rsidR="00ED382A" w:rsidRPr="00976F0C">
        <w:rPr>
          <w:rFonts w:ascii="Arial" w:hAnsi="Arial" w:cs="Arial"/>
          <w:color w:val="4BACC6" w:themeColor="accent5"/>
          <w:sz w:val="24"/>
          <w:szCs w:val="24"/>
        </w:rPr>
        <w:t xml:space="preserve"> </w:t>
      </w:r>
      <w:r w:rsidR="005F6634">
        <w:rPr>
          <w:rFonts w:ascii="Arial" w:hAnsi="Arial" w:cs="Arial"/>
          <w:color w:val="4BACC6" w:themeColor="accent5"/>
          <w:sz w:val="24"/>
          <w:szCs w:val="24"/>
        </w:rPr>
        <w:t>Encargada de</w:t>
      </w:r>
      <w:r w:rsidR="006F697F">
        <w:rPr>
          <w:rFonts w:ascii="Arial" w:hAnsi="Arial" w:cs="Arial"/>
          <w:color w:val="4BACC6" w:themeColor="accent5"/>
          <w:sz w:val="24"/>
          <w:szCs w:val="24"/>
        </w:rPr>
        <w:t>l Despacho de</w:t>
      </w:r>
      <w:r w:rsidR="005F6634">
        <w:rPr>
          <w:rFonts w:ascii="Arial" w:hAnsi="Arial" w:cs="Arial"/>
          <w:color w:val="4BACC6" w:themeColor="accent5"/>
          <w:sz w:val="24"/>
          <w:szCs w:val="24"/>
        </w:rPr>
        <w:t xml:space="preserve"> la </w:t>
      </w:r>
      <w:r w:rsidR="00ED382A" w:rsidRPr="00976F0C">
        <w:rPr>
          <w:rFonts w:ascii="Arial" w:hAnsi="Arial" w:cs="Arial"/>
          <w:color w:val="4BACC6" w:themeColor="accent5"/>
          <w:sz w:val="24"/>
          <w:szCs w:val="24"/>
        </w:rPr>
        <w:t>Unidad de Transparencia del</w:t>
      </w:r>
      <w:r w:rsidR="006F697F">
        <w:rPr>
          <w:rFonts w:ascii="Arial" w:hAnsi="Arial" w:cs="Arial"/>
          <w:color w:val="4BACC6" w:themeColor="accent5"/>
          <w:sz w:val="24"/>
          <w:szCs w:val="24"/>
        </w:rPr>
        <w:t xml:space="preserve"> Municipio de San Luis Potosí</w:t>
      </w:r>
      <w:r w:rsidR="00ED382A" w:rsidRPr="00976F0C">
        <w:rPr>
          <w:rFonts w:ascii="Arial" w:hAnsi="Arial" w:cs="Arial"/>
          <w:color w:val="4BACC6" w:themeColor="accent5"/>
          <w:sz w:val="24"/>
          <w:szCs w:val="24"/>
        </w:rPr>
        <w:t xml:space="preserve">, </w:t>
      </w:r>
      <w:r w:rsidR="006A4610" w:rsidRPr="00976F0C">
        <w:rPr>
          <w:rFonts w:ascii="Arial" w:hAnsi="Arial" w:cs="Arial"/>
          <w:color w:val="4BACC6" w:themeColor="accent5"/>
          <w:sz w:val="24"/>
          <w:szCs w:val="24"/>
        </w:rPr>
        <w:t>con</w:t>
      </w:r>
      <w:r w:rsidR="005F6634">
        <w:rPr>
          <w:rFonts w:ascii="Arial" w:hAnsi="Arial" w:cs="Arial"/>
          <w:color w:val="4BACC6" w:themeColor="accent5"/>
          <w:sz w:val="24"/>
          <w:szCs w:val="24"/>
        </w:rPr>
        <w:t xml:space="preserve"> </w:t>
      </w:r>
      <w:r w:rsidR="005B45EA">
        <w:rPr>
          <w:rFonts w:ascii="Arial" w:hAnsi="Arial" w:cs="Arial"/>
          <w:color w:val="4BACC6" w:themeColor="accent5"/>
          <w:sz w:val="24"/>
          <w:szCs w:val="24"/>
        </w:rPr>
        <w:t>nueve</w:t>
      </w:r>
      <w:r w:rsidR="007E0EB2">
        <w:rPr>
          <w:rFonts w:ascii="Arial" w:hAnsi="Arial" w:cs="Arial"/>
          <w:color w:val="4BACC6" w:themeColor="accent5"/>
          <w:sz w:val="24"/>
          <w:szCs w:val="24"/>
        </w:rPr>
        <w:t xml:space="preserve"> </w:t>
      </w:r>
      <w:r w:rsidR="006A4610" w:rsidRPr="00976F0C">
        <w:rPr>
          <w:rFonts w:ascii="Arial" w:hAnsi="Arial" w:cs="Arial"/>
          <w:color w:val="4BACC6" w:themeColor="accent5"/>
          <w:sz w:val="24"/>
          <w:szCs w:val="24"/>
        </w:rPr>
        <w:t>anexo</w:t>
      </w:r>
      <w:r w:rsidR="007E0EB2">
        <w:rPr>
          <w:rFonts w:ascii="Arial" w:hAnsi="Arial" w:cs="Arial"/>
          <w:color w:val="4BACC6" w:themeColor="accent5"/>
          <w:sz w:val="24"/>
          <w:szCs w:val="24"/>
        </w:rPr>
        <w:t>s</w:t>
      </w:r>
      <w:r w:rsidR="006A4610" w:rsidRPr="00976F0C">
        <w:rPr>
          <w:rFonts w:ascii="Arial" w:hAnsi="Arial" w:cs="Arial"/>
          <w:color w:val="4BACC6" w:themeColor="accent5"/>
          <w:sz w:val="24"/>
          <w:szCs w:val="24"/>
        </w:rPr>
        <w:t>,</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 xml:space="preserve">informa sobre </w:t>
      </w:r>
      <w:r w:rsidR="00B17CFE">
        <w:rPr>
          <w:rFonts w:ascii="Arial" w:hAnsi="Arial" w:cs="Arial"/>
          <w:color w:val="4BACC6" w:themeColor="accent5"/>
          <w:sz w:val="24"/>
          <w:szCs w:val="24"/>
        </w:rPr>
        <w:t>la entrega de la información</w:t>
      </w:r>
      <w:r w:rsidR="00515323">
        <w:rPr>
          <w:rFonts w:ascii="Arial" w:hAnsi="Arial" w:cs="Arial"/>
          <w:color w:val="4BACC6" w:themeColor="accent5"/>
          <w:sz w:val="24"/>
          <w:szCs w:val="24"/>
        </w:rPr>
        <w:t>,</w:t>
      </w:r>
      <w:r w:rsidR="00B17CFE">
        <w:rPr>
          <w:rFonts w:ascii="Arial" w:hAnsi="Arial" w:cs="Arial"/>
          <w:color w:val="4BACC6" w:themeColor="accent5"/>
          <w:sz w:val="24"/>
          <w:szCs w:val="24"/>
        </w:rPr>
        <w:t xml:space="preserve"> </w:t>
      </w:r>
      <w:r w:rsidR="00515323">
        <w:rPr>
          <w:rFonts w:ascii="Arial" w:hAnsi="Arial" w:cs="Arial"/>
          <w:color w:val="4BACC6" w:themeColor="accent5"/>
          <w:sz w:val="24"/>
          <w:szCs w:val="24"/>
        </w:rPr>
        <w:t>misma que no fue objeto de la presente resolución en virtud de no haberlo presentado en el momento procesal oportuno, ya que fue recibido el veintisiete de abril del año en curso, mismo día en que fue aprobada la resolución de mérito</w:t>
      </w:r>
      <w:r w:rsidR="005B45EA">
        <w:rPr>
          <w:rFonts w:ascii="Arial" w:hAnsi="Arial" w:cs="Arial"/>
          <w:color w:val="4BACC6" w:themeColor="accent5"/>
          <w:sz w:val="24"/>
          <w:szCs w:val="24"/>
        </w:rPr>
        <w:t xml:space="preserve"> por el pleno de esta Comisión</w:t>
      </w:r>
      <w:r w:rsidR="00583057">
        <w:rPr>
          <w:rFonts w:ascii="Arial" w:hAnsi="Arial" w:cs="Arial"/>
          <w:color w:val="4BACC6" w:themeColor="accent5"/>
          <w:sz w:val="24"/>
          <w:szCs w:val="24"/>
        </w:rPr>
        <w:t>.</w:t>
      </w:r>
      <w:r w:rsidR="00515323">
        <w:rPr>
          <w:rFonts w:ascii="Arial" w:hAnsi="Arial" w:cs="Arial"/>
          <w:color w:val="4BACC6" w:themeColor="accent5"/>
          <w:sz w:val="24"/>
          <w:szCs w:val="24"/>
        </w:rPr>
        <w:t xml:space="preserve"> (véase foja </w:t>
      </w:r>
      <w:r w:rsidR="005B45EA">
        <w:rPr>
          <w:rFonts w:ascii="Arial" w:hAnsi="Arial" w:cs="Arial"/>
          <w:color w:val="4BACC6" w:themeColor="accent5"/>
          <w:sz w:val="24"/>
          <w:szCs w:val="24"/>
        </w:rPr>
        <w:t xml:space="preserve">42 a </w:t>
      </w:r>
      <w:r w:rsidR="00515323">
        <w:rPr>
          <w:rFonts w:ascii="Arial" w:hAnsi="Arial" w:cs="Arial"/>
          <w:color w:val="4BACC6" w:themeColor="accent5"/>
          <w:sz w:val="24"/>
          <w:szCs w:val="24"/>
        </w:rPr>
        <w:t xml:space="preserve">53 </w:t>
      </w:r>
      <w:r w:rsidR="00583057">
        <w:rPr>
          <w:rFonts w:ascii="Arial" w:hAnsi="Arial" w:cs="Arial"/>
          <w:color w:val="4BACC6" w:themeColor="accent5"/>
          <w:sz w:val="24"/>
          <w:szCs w:val="24"/>
        </w:rPr>
        <w:t>de autos</w:t>
      </w:r>
      <w:r w:rsidR="00515323">
        <w:rPr>
          <w:rFonts w:ascii="Arial" w:hAnsi="Arial" w:cs="Arial"/>
          <w:color w:val="4BACC6" w:themeColor="accent5"/>
          <w:sz w:val="24"/>
          <w:szCs w:val="24"/>
        </w:rPr>
        <w:t>)</w:t>
      </w:r>
    </w:p>
    <w:p w:rsidR="005E7A1A" w:rsidRDefault="005E7A1A" w:rsidP="001C77AA">
      <w:pPr>
        <w:spacing w:after="0" w:line="360" w:lineRule="auto"/>
        <w:ind w:firstLine="708"/>
        <w:jc w:val="both"/>
        <w:rPr>
          <w:rFonts w:ascii="Arial" w:hAnsi="Arial" w:cs="Arial"/>
          <w:color w:val="4BACC6" w:themeColor="accent5"/>
          <w:sz w:val="24"/>
          <w:szCs w:val="24"/>
        </w:rPr>
      </w:pPr>
    </w:p>
    <w:p w:rsidR="005E7A1A" w:rsidRDefault="005E7A1A" w:rsidP="005E7A1A">
      <w:pPr>
        <w:tabs>
          <w:tab w:val="left" w:pos="2250"/>
        </w:tabs>
        <w:spacing w:after="0" w:line="360" w:lineRule="auto"/>
        <w:ind w:firstLine="709"/>
        <w:jc w:val="both"/>
        <w:rPr>
          <w:rFonts w:ascii="Arial" w:hAnsi="Arial" w:cs="Arial"/>
          <w:color w:val="4BACC6" w:themeColor="accent5"/>
          <w:sz w:val="24"/>
          <w:szCs w:val="24"/>
        </w:rPr>
      </w:pPr>
      <w:r>
        <w:rPr>
          <w:rFonts w:ascii="Arial" w:hAnsi="Arial" w:cs="Arial"/>
          <w:color w:val="4BACC6" w:themeColor="accent5"/>
          <w:sz w:val="24"/>
          <w:szCs w:val="24"/>
        </w:rPr>
        <w:t xml:space="preserve">Ahora bien, del oficio U.T.0817/18, signado por la Encargada del Despacho de la Unidad de Transparencia del Municipio de San Luis Potosí, </w:t>
      </w:r>
      <w:r w:rsidR="00AF01E8">
        <w:rPr>
          <w:rFonts w:ascii="Arial" w:hAnsi="Arial" w:cs="Arial"/>
          <w:color w:val="4BACC6" w:themeColor="accent5"/>
          <w:sz w:val="24"/>
          <w:szCs w:val="24"/>
        </w:rPr>
        <w:t>d</w:t>
      </w:r>
      <w:r>
        <w:rPr>
          <w:rFonts w:ascii="Arial" w:hAnsi="Arial" w:cs="Arial"/>
          <w:color w:val="4BACC6" w:themeColor="accent5"/>
          <w:sz w:val="24"/>
          <w:szCs w:val="24"/>
        </w:rPr>
        <w:t>el cual se desprende la siguiente manifestación:</w:t>
      </w:r>
    </w:p>
    <w:p w:rsidR="00EC6A22" w:rsidRDefault="005E7A1A" w:rsidP="005E7A1A">
      <w:pPr>
        <w:spacing w:after="0" w:line="240" w:lineRule="auto"/>
        <w:ind w:firstLine="708"/>
        <w:jc w:val="both"/>
        <w:rPr>
          <w:rFonts w:ascii="Arial" w:hAnsi="Arial" w:cs="Arial"/>
          <w:color w:val="4BACC6" w:themeColor="accent5"/>
          <w:sz w:val="24"/>
          <w:szCs w:val="24"/>
        </w:rPr>
      </w:pPr>
      <w:r w:rsidRPr="00976F0C">
        <w:rPr>
          <w:rFonts w:ascii="Arial" w:hAnsi="Arial" w:cs="Arial"/>
          <w:i/>
          <w:color w:val="4BACC6" w:themeColor="accent5"/>
        </w:rPr>
        <w:lastRenderedPageBreak/>
        <w:t>[…]</w:t>
      </w:r>
      <w:r>
        <w:rPr>
          <w:rFonts w:ascii="Arial" w:hAnsi="Arial" w:cs="Arial"/>
          <w:i/>
          <w:color w:val="4BACC6" w:themeColor="accent5"/>
        </w:rPr>
        <w:t xml:space="preserve"> solicitando nos tenga por presentando </w:t>
      </w:r>
      <w:r w:rsidRPr="00EC6A22">
        <w:rPr>
          <w:rFonts w:ascii="Arial" w:hAnsi="Arial" w:cs="Arial"/>
          <w:b/>
          <w:i/>
          <w:color w:val="4BACC6" w:themeColor="accent5"/>
        </w:rPr>
        <w:t>pruebas supervinientes</w:t>
      </w:r>
      <w:r>
        <w:rPr>
          <w:rFonts w:ascii="Arial" w:hAnsi="Arial" w:cs="Arial"/>
          <w:i/>
          <w:color w:val="4BACC6" w:themeColor="accent5"/>
        </w:rPr>
        <w:t xml:space="preserve"> a la presentación del informe, alegatos y pruebas que a nuestra parte corresponden respecto del Recurso de Revisión derivado del escrito del C. José Guadalupe González Covarrubias, contra actos atribuibles a este Municipio. </w:t>
      </w:r>
      <w:r w:rsidRPr="00976F0C">
        <w:rPr>
          <w:rFonts w:ascii="Arial" w:hAnsi="Arial" w:cs="Arial"/>
          <w:i/>
          <w:color w:val="4BACC6" w:themeColor="accent5"/>
        </w:rPr>
        <w:t>[…]</w:t>
      </w:r>
    </w:p>
    <w:p w:rsidR="00EC6A22" w:rsidRDefault="00EC6A22" w:rsidP="001C77AA">
      <w:pPr>
        <w:spacing w:after="0" w:line="360" w:lineRule="auto"/>
        <w:ind w:firstLine="708"/>
        <w:jc w:val="both"/>
        <w:rPr>
          <w:rFonts w:ascii="Arial" w:hAnsi="Arial" w:cs="Arial"/>
          <w:color w:val="4BACC6" w:themeColor="accent5"/>
          <w:sz w:val="24"/>
          <w:szCs w:val="24"/>
        </w:rPr>
      </w:pPr>
    </w:p>
    <w:p w:rsidR="005E7A1A" w:rsidRDefault="005E7A1A" w:rsidP="001C77AA">
      <w:pPr>
        <w:spacing w:after="0" w:line="360" w:lineRule="auto"/>
        <w:ind w:firstLine="708"/>
        <w:jc w:val="both"/>
        <w:rPr>
          <w:rFonts w:ascii="Arial" w:hAnsi="Arial" w:cs="Arial"/>
          <w:color w:val="4BACC6" w:themeColor="accent5"/>
          <w:sz w:val="24"/>
          <w:szCs w:val="24"/>
        </w:rPr>
      </w:pPr>
    </w:p>
    <w:p w:rsidR="00E5219C" w:rsidRPr="004C4650" w:rsidRDefault="005E7A1A" w:rsidP="00E5219C">
      <w:pPr>
        <w:spacing w:after="0" w:line="360" w:lineRule="auto"/>
        <w:ind w:firstLine="708"/>
        <w:jc w:val="both"/>
        <w:rPr>
          <w:rFonts w:ascii="Arial" w:hAnsi="Arial" w:cs="Arial"/>
          <w:sz w:val="24"/>
          <w:szCs w:val="24"/>
        </w:rPr>
      </w:pPr>
      <w:r>
        <w:rPr>
          <w:rFonts w:ascii="Arial" w:hAnsi="Arial" w:cs="Arial"/>
          <w:color w:val="4BACC6" w:themeColor="accent5"/>
          <w:sz w:val="24"/>
          <w:szCs w:val="24"/>
        </w:rPr>
        <w:t xml:space="preserve">Por lo anterior, es necesario entrar al estudio de </w:t>
      </w:r>
      <w:r w:rsidR="00AF01E8">
        <w:rPr>
          <w:rFonts w:ascii="Arial" w:hAnsi="Arial" w:cs="Arial"/>
          <w:color w:val="4BACC6" w:themeColor="accent5"/>
          <w:sz w:val="24"/>
          <w:szCs w:val="24"/>
        </w:rPr>
        <w:t>su</w:t>
      </w:r>
      <w:r>
        <w:rPr>
          <w:rFonts w:ascii="Arial" w:hAnsi="Arial" w:cs="Arial"/>
          <w:color w:val="4BACC6" w:themeColor="accent5"/>
          <w:sz w:val="24"/>
          <w:szCs w:val="24"/>
        </w:rPr>
        <w:t xml:space="preserve"> prueba superveniente</w:t>
      </w:r>
      <w:r w:rsidR="00E5219C">
        <w:rPr>
          <w:rFonts w:ascii="Arial" w:hAnsi="Arial" w:cs="Arial"/>
          <w:color w:val="4BACC6" w:themeColor="accent5"/>
          <w:sz w:val="24"/>
          <w:szCs w:val="24"/>
        </w:rPr>
        <w:t>, por lo cual tenemos que</w:t>
      </w:r>
      <w:r w:rsidR="00E5219C" w:rsidRPr="00E5219C">
        <w:rPr>
          <w:rFonts w:ascii="Arial" w:hAnsi="Arial" w:cs="Arial"/>
          <w:color w:val="4BACC6" w:themeColor="accent5"/>
          <w:sz w:val="24"/>
          <w:szCs w:val="24"/>
        </w:rPr>
        <w:t xml:space="preserve"> remitirnos a la tesis aislada XVIII.1º.1 L, de la Novena Época, </w:t>
      </w:r>
      <w:r w:rsidR="00E5219C">
        <w:rPr>
          <w:rFonts w:ascii="Arial" w:hAnsi="Arial" w:cs="Arial"/>
          <w:color w:val="4BACC6" w:themeColor="accent5"/>
          <w:sz w:val="24"/>
          <w:szCs w:val="24"/>
        </w:rPr>
        <w:t xml:space="preserve">con número de </w:t>
      </w:r>
      <w:r w:rsidR="00E5219C" w:rsidRPr="004C4650">
        <w:rPr>
          <w:rFonts w:ascii="Arial" w:hAnsi="Arial" w:cs="Arial"/>
          <w:color w:val="4BACC6" w:themeColor="accent5"/>
          <w:sz w:val="24"/>
          <w:szCs w:val="24"/>
        </w:rPr>
        <w:t>registro 200979, emitida por los Tribunales Colegiados de Circuito, Semanario Judicial de la Federación y su Gaceta, Tomo IV, Noviembre de 1996, Materia Laboral, Página 491, la cual a la letra dice:</w:t>
      </w:r>
    </w:p>
    <w:p w:rsidR="00E5219C" w:rsidRPr="007753E9" w:rsidRDefault="00E5219C" w:rsidP="00E5219C">
      <w:pPr>
        <w:spacing w:after="0" w:line="360" w:lineRule="auto"/>
        <w:ind w:firstLine="708"/>
        <w:jc w:val="both"/>
        <w:rPr>
          <w:rFonts w:ascii="Arial" w:hAnsi="Arial" w:cs="Arial"/>
        </w:rPr>
      </w:pPr>
      <w:r w:rsidRPr="007753E9">
        <w:rPr>
          <w:rFonts w:ascii="Arial" w:hAnsi="Arial" w:cs="Arial"/>
        </w:rPr>
        <w:t xml:space="preserve"> </w:t>
      </w:r>
    </w:p>
    <w:p w:rsidR="00E5219C" w:rsidRPr="00E5219C" w:rsidRDefault="00E5219C" w:rsidP="00E5219C">
      <w:pPr>
        <w:spacing w:line="240" w:lineRule="auto"/>
        <w:ind w:firstLine="708"/>
        <w:jc w:val="both"/>
        <w:rPr>
          <w:rFonts w:ascii="Arial" w:hAnsi="Arial" w:cs="Arial"/>
          <w:i/>
          <w:color w:val="4BACC6" w:themeColor="accent5"/>
          <w:sz w:val="20"/>
          <w:szCs w:val="20"/>
        </w:rPr>
      </w:pPr>
      <w:r w:rsidRPr="00E5219C">
        <w:rPr>
          <w:rFonts w:ascii="Arial" w:hAnsi="Arial" w:cs="Arial"/>
          <w:i/>
          <w:color w:val="4BACC6" w:themeColor="accent5"/>
          <w:sz w:val="20"/>
          <w:szCs w:val="20"/>
        </w:rPr>
        <w:t>“PRUEBA SUPERVENIENTE EN MATERIA LABORAL.</w:t>
      </w:r>
    </w:p>
    <w:p w:rsidR="00E5219C" w:rsidRPr="007753E9" w:rsidRDefault="00E5219C" w:rsidP="00E5219C">
      <w:pPr>
        <w:spacing w:line="240" w:lineRule="auto"/>
        <w:ind w:left="708"/>
        <w:jc w:val="both"/>
        <w:rPr>
          <w:rFonts w:ascii="Arial" w:hAnsi="Arial" w:cs="Arial"/>
        </w:rPr>
      </w:pPr>
      <w:r w:rsidRPr="00E5219C">
        <w:rPr>
          <w:rFonts w:ascii="Arial" w:hAnsi="Arial" w:cs="Arial"/>
          <w:i/>
          <w:color w:val="4BACC6" w:themeColor="accent5"/>
          <w:sz w:val="20"/>
          <w:szCs w:val="20"/>
        </w:rPr>
        <w:t xml:space="preserve">La correcta interpretación jurídica de los artículos 778 y 881 de la Ley Federal del Trabajo, permite concluir que una connotación restringida del concepto superveniente, autoriza a sostener que un hecho es de esa naturaleza cuando sobreviene o acontece con posterioridad a cierto momento; sin embargo, en un sentido más amplio como lo exige el derecho laboral a la luz de las reformas procesales de mil novecientos ochenta, puede arribarse a que se entiende por hechos supervenientes la existencia de nuevos datos surgidos con posterioridad a la celebración de la etapa de ofrecimiento y admisión de pruebas en la audiencia inicial del juicio, o bien, de aquellos que existiendo previamente no se tenía conocimiento de su existencia. En resumen, los hechos supervenientes a que se refieren los citados preceptos </w:t>
      </w:r>
      <w:r w:rsidR="00B72158" w:rsidRPr="00E5219C">
        <w:rPr>
          <w:rFonts w:ascii="Arial" w:hAnsi="Arial" w:cs="Arial"/>
          <w:i/>
          <w:color w:val="4BACC6" w:themeColor="accent5"/>
          <w:sz w:val="20"/>
          <w:szCs w:val="20"/>
        </w:rPr>
        <w:t>legales</w:t>
      </w:r>
      <w:r w:rsidR="00B72158">
        <w:rPr>
          <w:rFonts w:ascii="Arial" w:hAnsi="Arial" w:cs="Arial"/>
          <w:i/>
          <w:color w:val="4BACC6" w:themeColor="accent5"/>
          <w:sz w:val="20"/>
          <w:szCs w:val="20"/>
        </w:rPr>
        <w:t>,</w:t>
      </w:r>
      <w:r w:rsidRPr="00E5219C">
        <w:rPr>
          <w:rFonts w:ascii="Arial" w:hAnsi="Arial" w:cs="Arial"/>
          <w:i/>
          <w:color w:val="4BACC6" w:themeColor="accent5"/>
          <w:sz w:val="20"/>
          <w:szCs w:val="20"/>
        </w:rPr>
        <w:t xml:space="preserve"> son aquellos que fueron conocidos por las partes con posterioridad a la audiencia procesal, aunque hubieren acontecido con anterioridad, o bien aquellos que sobrevinieron después de haberse celebrado la misma.</w:t>
      </w:r>
    </w:p>
    <w:p w:rsidR="00EC6A22" w:rsidRDefault="005E7A1A" w:rsidP="001C77AA">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 </w:t>
      </w:r>
    </w:p>
    <w:p w:rsidR="00B72158" w:rsidRDefault="00B72158" w:rsidP="001C77AA">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Entonces, de lo aludido se obtienen los siguientes elementos:</w:t>
      </w:r>
    </w:p>
    <w:p w:rsidR="00B72158" w:rsidRPr="00B72158" w:rsidRDefault="00B72158" w:rsidP="00B72158">
      <w:pPr>
        <w:pStyle w:val="Prrafodelista"/>
        <w:spacing w:line="240" w:lineRule="auto"/>
        <w:ind w:left="1428"/>
        <w:jc w:val="both"/>
        <w:rPr>
          <w:rFonts w:ascii="Arial" w:hAnsi="Arial" w:cs="Arial"/>
          <w:i/>
          <w:color w:val="4BACC6" w:themeColor="accent5"/>
          <w:sz w:val="24"/>
          <w:szCs w:val="24"/>
        </w:rPr>
      </w:pPr>
    </w:p>
    <w:p w:rsidR="00B72158" w:rsidRPr="00B72158" w:rsidRDefault="00B72158" w:rsidP="00B72158">
      <w:pPr>
        <w:pStyle w:val="Prrafodelista"/>
        <w:numPr>
          <w:ilvl w:val="0"/>
          <w:numId w:val="21"/>
        </w:numPr>
        <w:spacing w:line="240" w:lineRule="auto"/>
        <w:jc w:val="both"/>
        <w:rPr>
          <w:rFonts w:ascii="Arial" w:hAnsi="Arial" w:cs="Arial"/>
          <w:i/>
          <w:color w:val="4BACC6" w:themeColor="accent5"/>
          <w:sz w:val="24"/>
          <w:szCs w:val="24"/>
        </w:rPr>
      </w:pPr>
      <w:r w:rsidRPr="00B72158">
        <w:rPr>
          <w:rFonts w:ascii="Arial" w:hAnsi="Arial" w:cs="Arial"/>
          <w:i/>
          <w:color w:val="4BACC6" w:themeColor="accent5"/>
          <w:sz w:val="24"/>
          <w:szCs w:val="24"/>
        </w:rPr>
        <w:t xml:space="preserve">que fueron conocidos por </w:t>
      </w:r>
      <w:r>
        <w:rPr>
          <w:rFonts w:ascii="Arial" w:hAnsi="Arial" w:cs="Arial"/>
          <w:i/>
          <w:color w:val="4BACC6" w:themeColor="accent5"/>
          <w:sz w:val="24"/>
          <w:szCs w:val="24"/>
        </w:rPr>
        <w:t xml:space="preserve">una de </w:t>
      </w:r>
      <w:r w:rsidRPr="00B72158">
        <w:rPr>
          <w:rFonts w:ascii="Arial" w:hAnsi="Arial" w:cs="Arial"/>
          <w:i/>
          <w:color w:val="4BACC6" w:themeColor="accent5"/>
          <w:sz w:val="24"/>
          <w:szCs w:val="24"/>
        </w:rPr>
        <w:t>las partes con posterioridad a la audiencia procesal.</w:t>
      </w:r>
    </w:p>
    <w:p w:rsidR="00B72158" w:rsidRPr="00AF01E8" w:rsidRDefault="00B72158" w:rsidP="00B72158">
      <w:pPr>
        <w:pStyle w:val="Prrafodelista"/>
        <w:spacing w:line="240" w:lineRule="auto"/>
        <w:ind w:left="1428"/>
        <w:jc w:val="both"/>
        <w:rPr>
          <w:rFonts w:ascii="Arial" w:hAnsi="Arial" w:cs="Arial"/>
          <w:i/>
          <w:color w:val="4BACC6" w:themeColor="accent5"/>
          <w:sz w:val="24"/>
          <w:szCs w:val="24"/>
        </w:rPr>
      </w:pPr>
    </w:p>
    <w:p w:rsidR="00B72158" w:rsidRPr="00AF01E8" w:rsidRDefault="00B72158" w:rsidP="00B72158">
      <w:pPr>
        <w:pStyle w:val="Prrafodelista"/>
        <w:numPr>
          <w:ilvl w:val="0"/>
          <w:numId w:val="21"/>
        </w:numPr>
        <w:spacing w:line="240" w:lineRule="auto"/>
        <w:jc w:val="both"/>
        <w:rPr>
          <w:rFonts w:ascii="Arial" w:hAnsi="Arial" w:cs="Arial"/>
          <w:color w:val="4BACC6" w:themeColor="accent5"/>
          <w:sz w:val="24"/>
          <w:szCs w:val="24"/>
        </w:rPr>
      </w:pPr>
      <w:r w:rsidRPr="00AF01E8">
        <w:rPr>
          <w:rFonts w:ascii="Arial" w:hAnsi="Arial" w:cs="Arial"/>
          <w:i/>
          <w:color w:val="4BACC6" w:themeColor="accent5"/>
          <w:sz w:val="24"/>
          <w:szCs w:val="24"/>
        </w:rPr>
        <w:t>que sobrevinieron después de haberse celebrado la misma.</w:t>
      </w:r>
    </w:p>
    <w:p w:rsidR="00B72158" w:rsidRPr="00AF01E8" w:rsidRDefault="00B72158" w:rsidP="001C77AA">
      <w:pPr>
        <w:spacing w:after="0" w:line="360" w:lineRule="auto"/>
        <w:ind w:firstLine="708"/>
        <w:jc w:val="both"/>
        <w:rPr>
          <w:rFonts w:ascii="Arial" w:hAnsi="Arial" w:cs="Arial"/>
          <w:i/>
          <w:color w:val="4BACC6" w:themeColor="accent5"/>
          <w:sz w:val="24"/>
          <w:szCs w:val="24"/>
        </w:rPr>
      </w:pPr>
    </w:p>
    <w:p w:rsidR="0082703C" w:rsidRDefault="00B72158" w:rsidP="00B72158">
      <w:pPr>
        <w:spacing w:after="0" w:line="360" w:lineRule="auto"/>
        <w:ind w:firstLine="708"/>
        <w:jc w:val="both"/>
        <w:rPr>
          <w:rFonts w:ascii="Arial" w:hAnsi="Arial" w:cs="Arial"/>
          <w:color w:val="4BACC6" w:themeColor="accent5"/>
          <w:sz w:val="24"/>
          <w:szCs w:val="24"/>
        </w:rPr>
      </w:pPr>
      <w:r w:rsidRPr="00AF01E8">
        <w:rPr>
          <w:rFonts w:ascii="Arial" w:hAnsi="Arial" w:cs="Arial"/>
          <w:color w:val="4BACC6" w:themeColor="accent5"/>
          <w:sz w:val="24"/>
          <w:szCs w:val="24"/>
        </w:rPr>
        <w:t>Por ello,</w:t>
      </w:r>
      <w:r w:rsidR="00AF01E8">
        <w:rPr>
          <w:rFonts w:ascii="Arial" w:hAnsi="Arial" w:cs="Arial"/>
          <w:color w:val="4BACC6" w:themeColor="accent5"/>
          <w:sz w:val="24"/>
          <w:szCs w:val="24"/>
        </w:rPr>
        <w:t xml:space="preserve"> la manifestación del sujeto obligado debe de contar con el elemento </w:t>
      </w:r>
      <w:r w:rsidRPr="00AF01E8">
        <w:rPr>
          <w:rFonts w:ascii="Arial" w:hAnsi="Arial" w:cs="Arial"/>
          <w:color w:val="4BACC6" w:themeColor="accent5"/>
          <w:sz w:val="24"/>
          <w:szCs w:val="24"/>
        </w:rPr>
        <w:t xml:space="preserve">de convicción de </w:t>
      </w:r>
      <w:r w:rsidR="009C5040">
        <w:rPr>
          <w:rFonts w:ascii="Arial" w:hAnsi="Arial" w:cs="Arial"/>
          <w:color w:val="4BACC6" w:themeColor="accent5"/>
          <w:sz w:val="24"/>
          <w:szCs w:val="24"/>
        </w:rPr>
        <w:t>l</w:t>
      </w:r>
      <w:r w:rsidRPr="00AF01E8">
        <w:rPr>
          <w:rFonts w:ascii="Arial" w:hAnsi="Arial" w:cs="Arial"/>
          <w:color w:val="4BACC6" w:themeColor="accent5"/>
          <w:sz w:val="24"/>
          <w:szCs w:val="24"/>
        </w:rPr>
        <w:t>a cualidad</w:t>
      </w:r>
      <w:r w:rsidR="009C5040">
        <w:rPr>
          <w:rFonts w:ascii="Arial" w:hAnsi="Arial" w:cs="Arial"/>
          <w:color w:val="4BACC6" w:themeColor="accent5"/>
          <w:sz w:val="24"/>
          <w:szCs w:val="24"/>
        </w:rPr>
        <w:t xml:space="preserve"> de temporalidad</w:t>
      </w:r>
      <w:r w:rsidRPr="00AF01E8">
        <w:rPr>
          <w:rFonts w:ascii="Arial" w:hAnsi="Arial" w:cs="Arial"/>
          <w:color w:val="4BACC6" w:themeColor="accent5"/>
          <w:sz w:val="24"/>
          <w:szCs w:val="24"/>
        </w:rPr>
        <w:t xml:space="preserve">, </w:t>
      </w:r>
      <w:r w:rsidR="00AF01E8">
        <w:rPr>
          <w:rFonts w:ascii="Arial" w:hAnsi="Arial" w:cs="Arial"/>
          <w:color w:val="4BACC6" w:themeColor="accent5"/>
          <w:sz w:val="24"/>
          <w:szCs w:val="24"/>
        </w:rPr>
        <w:t xml:space="preserve">y por lo cual </w:t>
      </w:r>
      <w:r w:rsidRPr="00AF01E8">
        <w:rPr>
          <w:rFonts w:ascii="Arial" w:hAnsi="Arial" w:cs="Arial"/>
          <w:color w:val="4BACC6" w:themeColor="accent5"/>
          <w:sz w:val="24"/>
          <w:szCs w:val="24"/>
        </w:rPr>
        <w:t>la parte interesada deb</w:t>
      </w:r>
      <w:r w:rsidR="004C4650" w:rsidRPr="00AF01E8">
        <w:rPr>
          <w:rFonts w:ascii="Arial" w:hAnsi="Arial" w:cs="Arial"/>
          <w:color w:val="4BACC6" w:themeColor="accent5"/>
          <w:sz w:val="24"/>
          <w:szCs w:val="24"/>
        </w:rPr>
        <w:t xml:space="preserve">ió </w:t>
      </w:r>
      <w:r w:rsidR="00AF01E8">
        <w:rPr>
          <w:rFonts w:ascii="Arial" w:hAnsi="Arial" w:cs="Arial"/>
          <w:color w:val="4BACC6" w:themeColor="accent5"/>
          <w:sz w:val="24"/>
          <w:szCs w:val="24"/>
        </w:rPr>
        <w:t>d</w:t>
      </w:r>
      <w:r w:rsidRPr="00AF01E8">
        <w:rPr>
          <w:rFonts w:ascii="Arial" w:hAnsi="Arial" w:cs="Arial"/>
          <w:color w:val="4BACC6" w:themeColor="accent5"/>
          <w:sz w:val="24"/>
          <w:szCs w:val="24"/>
        </w:rPr>
        <w:t>e proporcionar la fecha en que tuvo conocimiento de su existencia, ya que sólo de esa manera podrá constatarse si en realidad sucedió después de concluida la fase procesal referida</w:t>
      </w:r>
      <w:r w:rsidR="00AF01E8">
        <w:rPr>
          <w:rFonts w:ascii="Arial" w:hAnsi="Arial" w:cs="Arial"/>
          <w:color w:val="4BACC6" w:themeColor="accent5"/>
          <w:sz w:val="24"/>
          <w:szCs w:val="24"/>
        </w:rPr>
        <w:t xml:space="preserve">, siendo así su justificación para su </w:t>
      </w:r>
      <w:r w:rsidRPr="00AF01E8">
        <w:rPr>
          <w:rFonts w:ascii="Arial" w:hAnsi="Arial" w:cs="Arial"/>
          <w:color w:val="4BACC6" w:themeColor="accent5"/>
          <w:sz w:val="24"/>
          <w:szCs w:val="24"/>
        </w:rPr>
        <w:t>admisión p</w:t>
      </w:r>
      <w:r w:rsidR="00AF01E8">
        <w:rPr>
          <w:rFonts w:ascii="Arial" w:hAnsi="Arial" w:cs="Arial"/>
          <w:color w:val="4BACC6" w:themeColor="accent5"/>
          <w:sz w:val="24"/>
          <w:szCs w:val="24"/>
        </w:rPr>
        <w:t>a</w:t>
      </w:r>
      <w:r w:rsidRPr="00AF01E8">
        <w:rPr>
          <w:rFonts w:ascii="Arial" w:hAnsi="Arial" w:cs="Arial"/>
          <w:color w:val="4BACC6" w:themeColor="accent5"/>
          <w:sz w:val="24"/>
          <w:szCs w:val="24"/>
        </w:rPr>
        <w:t>r</w:t>
      </w:r>
      <w:r w:rsidR="00AF01E8">
        <w:rPr>
          <w:rFonts w:ascii="Arial" w:hAnsi="Arial" w:cs="Arial"/>
          <w:color w:val="4BACC6" w:themeColor="accent5"/>
          <w:sz w:val="24"/>
          <w:szCs w:val="24"/>
        </w:rPr>
        <w:t>a</w:t>
      </w:r>
      <w:r w:rsidRPr="00AF01E8">
        <w:rPr>
          <w:rFonts w:ascii="Arial" w:hAnsi="Arial" w:cs="Arial"/>
          <w:color w:val="4BACC6" w:themeColor="accent5"/>
          <w:sz w:val="24"/>
          <w:szCs w:val="24"/>
        </w:rPr>
        <w:t xml:space="preserve"> </w:t>
      </w:r>
      <w:r w:rsidR="00AF01E8">
        <w:rPr>
          <w:rFonts w:ascii="Arial" w:hAnsi="Arial" w:cs="Arial"/>
          <w:color w:val="4BACC6" w:themeColor="accent5"/>
          <w:sz w:val="24"/>
          <w:szCs w:val="24"/>
        </w:rPr>
        <w:t xml:space="preserve">contar con la característica de </w:t>
      </w:r>
      <w:r w:rsidRPr="00AF01E8">
        <w:rPr>
          <w:rFonts w:ascii="Arial" w:hAnsi="Arial" w:cs="Arial"/>
          <w:color w:val="4BACC6" w:themeColor="accent5"/>
          <w:sz w:val="24"/>
          <w:szCs w:val="24"/>
        </w:rPr>
        <w:t>ser superveniente, pues aunque ese requisito no está explícito en la legislación laboral en cita, sí se encuentra implícito, precisamente porque será lo que dé la pauta para estimar si en verdad le asiste esa característica, en la medida en que no haya sido ofrecida oportunamente por una causa justificada, como lo es el desconocimiento de su existencia</w:t>
      </w:r>
      <w:r w:rsidR="00D52D5C">
        <w:rPr>
          <w:rFonts w:ascii="Arial" w:hAnsi="Arial" w:cs="Arial"/>
          <w:color w:val="4BACC6" w:themeColor="accent5"/>
          <w:sz w:val="24"/>
          <w:szCs w:val="24"/>
        </w:rPr>
        <w:t>.</w:t>
      </w:r>
      <w:r w:rsidRPr="00AF01E8">
        <w:rPr>
          <w:rFonts w:ascii="Arial" w:hAnsi="Arial" w:cs="Arial"/>
          <w:color w:val="4BACC6" w:themeColor="accent5"/>
          <w:sz w:val="24"/>
          <w:szCs w:val="24"/>
        </w:rPr>
        <w:t xml:space="preserve"> </w:t>
      </w:r>
    </w:p>
    <w:p w:rsidR="00D52D5C" w:rsidRPr="00D52D5C" w:rsidRDefault="0082703C" w:rsidP="00D52D5C">
      <w:pPr>
        <w:spacing w:line="360" w:lineRule="auto"/>
        <w:ind w:firstLine="708"/>
        <w:jc w:val="both"/>
        <w:rPr>
          <w:rFonts w:ascii="Arial" w:hAnsi="Arial" w:cs="Arial"/>
          <w:color w:val="4BACC6" w:themeColor="accent5"/>
          <w:sz w:val="20"/>
          <w:szCs w:val="20"/>
        </w:rPr>
      </w:pPr>
      <w:r>
        <w:rPr>
          <w:rFonts w:ascii="Arial" w:hAnsi="Arial" w:cs="Arial"/>
          <w:color w:val="4BACC6" w:themeColor="accent5"/>
          <w:sz w:val="24"/>
          <w:szCs w:val="24"/>
        </w:rPr>
        <w:lastRenderedPageBreak/>
        <w:t xml:space="preserve">En consecuencia, </w:t>
      </w:r>
      <w:r w:rsidRPr="00AF01E8">
        <w:rPr>
          <w:rFonts w:ascii="Arial" w:hAnsi="Arial" w:cs="Arial"/>
          <w:color w:val="4BACC6" w:themeColor="accent5"/>
          <w:sz w:val="24"/>
          <w:szCs w:val="24"/>
        </w:rPr>
        <w:t>no debe admitirse</w:t>
      </w:r>
      <w:r>
        <w:rPr>
          <w:rFonts w:ascii="Arial" w:hAnsi="Arial" w:cs="Arial"/>
          <w:color w:val="4BACC6" w:themeColor="accent5"/>
          <w:sz w:val="24"/>
          <w:szCs w:val="24"/>
        </w:rPr>
        <w:t xml:space="preserve"> dicha probanza, al no haber acreditado dicha circunstancia y no haber sido anunciada antes de la resolución, a pesar de</w:t>
      </w:r>
      <w:r w:rsidRPr="00D52D5C">
        <w:rPr>
          <w:rFonts w:ascii="Arial" w:hAnsi="Arial" w:cs="Arial"/>
          <w:color w:val="4BACC6" w:themeColor="accent5"/>
          <w:sz w:val="24"/>
          <w:szCs w:val="24"/>
        </w:rPr>
        <w:t xml:space="preserve"> haber transcurrido el termino legal, como lo establece la </w:t>
      </w:r>
      <w:r w:rsidR="00D52D5C" w:rsidRPr="00D52D5C">
        <w:rPr>
          <w:rFonts w:ascii="Arial" w:hAnsi="Arial" w:cs="Arial"/>
          <w:color w:val="4BACC6" w:themeColor="accent5"/>
          <w:sz w:val="24"/>
          <w:szCs w:val="24"/>
        </w:rPr>
        <w:t xml:space="preserve">tesis aislada, de la Décima Época, 2013478, Tribunales Colegiados de Circuito, Gaceta del Semanario Judicial de la Federación, Libro 38, Enero de 2017, Tomo IV, Materia Laboral, XVI.1o.T.39 L (10a.), página: 2627, que a la letra dice: </w:t>
      </w:r>
    </w:p>
    <w:p w:rsidR="00D52D5C" w:rsidRPr="00D52D5C" w:rsidRDefault="00D52D5C" w:rsidP="00D52D5C">
      <w:pPr>
        <w:spacing w:line="240" w:lineRule="auto"/>
        <w:jc w:val="both"/>
        <w:rPr>
          <w:rFonts w:ascii="Arial" w:hAnsi="Arial" w:cs="Arial"/>
          <w:color w:val="4BACC6" w:themeColor="accent5"/>
          <w:sz w:val="20"/>
          <w:szCs w:val="20"/>
        </w:rPr>
      </w:pPr>
    </w:p>
    <w:p w:rsidR="00D52D5C" w:rsidRPr="00D52D5C" w:rsidRDefault="00D52D5C" w:rsidP="00D52D5C">
      <w:pPr>
        <w:spacing w:line="240" w:lineRule="auto"/>
        <w:ind w:firstLine="708"/>
        <w:jc w:val="both"/>
        <w:rPr>
          <w:rFonts w:ascii="Arial" w:hAnsi="Arial" w:cs="Arial"/>
          <w:i/>
          <w:color w:val="4BACC6" w:themeColor="accent5"/>
          <w:sz w:val="20"/>
          <w:szCs w:val="20"/>
        </w:rPr>
      </w:pPr>
      <w:r w:rsidRPr="00D52D5C">
        <w:rPr>
          <w:rFonts w:ascii="Arial" w:hAnsi="Arial" w:cs="Arial"/>
          <w:i/>
          <w:color w:val="4BACC6" w:themeColor="accent5"/>
          <w:sz w:val="20"/>
          <w:szCs w:val="20"/>
        </w:rPr>
        <w:t>“PRUEBA SUPERVENIENTE EN MATERIA LABORAL. EL TÉRMINO PARA OFRECERLA ES DE TRES DÍAS CONTADOS A PARTIR DE QUE SE TUVO CONOCIMIENTO DE SU EXISTENCIA.</w:t>
      </w:r>
    </w:p>
    <w:p w:rsidR="00D52D5C" w:rsidRPr="00D52D5C" w:rsidRDefault="00D52D5C" w:rsidP="00D52D5C">
      <w:pPr>
        <w:spacing w:line="240" w:lineRule="auto"/>
        <w:jc w:val="both"/>
        <w:rPr>
          <w:rFonts w:ascii="Arial" w:hAnsi="Arial" w:cs="Arial"/>
          <w:i/>
          <w:color w:val="4BACC6" w:themeColor="accent5"/>
          <w:sz w:val="20"/>
          <w:szCs w:val="20"/>
        </w:rPr>
      </w:pPr>
      <w:r w:rsidRPr="00D52D5C">
        <w:rPr>
          <w:rFonts w:ascii="Arial" w:hAnsi="Arial" w:cs="Arial"/>
          <w:i/>
          <w:color w:val="4BACC6" w:themeColor="accent5"/>
          <w:sz w:val="20"/>
          <w:szCs w:val="20"/>
        </w:rPr>
        <w:t>El artículo 881 de la Ley Federal del Trabajo alude a la posibilidad de que una vez concluida la etapa de ofrecimiento y admisión de pruebas, solamente se admitirán las que se refieran a hechos supervenientes. Ahora bien, por hecho superveniente debe entenderse aquel que ocurre con posterioridad a la fecha en que se formula la demanda o la contestación en la fase procesal correspondiente y también puede ser el que se conoce después de celebrada la etapa de demanda y excepciones; entonces la prueba superveniente es la que nace luego de agotada la de ofrecimiento y admisión de pruebas o se tiene conocimiento después de verificada esta última. En tal virtud, si una de las partes en el juicio laboral pretende que le sea admitida como prueba superveniente la que conoció después de llevarse a cabo la etapa de ofrecimiento y admisión de pruebas, debe ofrecerla en el término de tres días previsto en el artículo 735 de la Ley Federal del Trabajo, precisamente porque para realizar esa actuación no está expresamente fijado un término específico y tampoco debe quedar al arbitrio de la oferente la oportunidad para hacerlo, ya que es la propia ley la que fija los momentos en que han de verificarse los actos procesales, so pena de que opere la preclusión del derecho correspondiente.</w:t>
      </w:r>
    </w:p>
    <w:p w:rsidR="00D52D5C" w:rsidRPr="00D52D5C" w:rsidRDefault="00D52D5C" w:rsidP="00D52D5C">
      <w:pPr>
        <w:spacing w:line="240" w:lineRule="auto"/>
        <w:jc w:val="both"/>
        <w:rPr>
          <w:rFonts w:ascii="Arial" w:hAnsi="Arial" w:cs="Arial"/>
          <w:i/>
          <w:color w:val="4BACC6" w:themeColor="accent5"/>
          <w:sz w:val="20"/>
          <w:szCs w:val="20"/>
        </w:rPr>
      </w:pPr>
      <w:r w:rsidRPr="00D52D5C">
        <w:rPr>
          <w:rFonts w:ascii="Arial" w:hAnsi="Arial" w:cs="Arial"/>
          <w:i/>
          <w:color w:val="4BACC6" w:themeColor="accent5"/>
          <w:sz w:val="20"/>
          <w:szCs w:val="20"/>
        </w:rPr>
        <w:t>PRIMER TRIBUNAL COLEGIADO EN MATERIA DE TRABAJO DEL DÉCIMO SEXTO CIRCUITO.”</w:t>
      </w:r>
    </w:p>
    <w:p w:rsidR="0082703C" w:rsidRDefault="0082703C" w:rsidP="00B72158">
      <w:pPr>
        <w:spacing w:after="0" w:line="360" w:lineRule="auto"/>
        <w:ind w:firstLine="708"/>
        <w:jc w:val="both"/>
        <w:rPr>
          <w:rFonts w:ascii="Arial" w:hAnsi="Arial" w:cs="Arial"/>
          <w:color w:val="4BACC6" w:themeColor="accent5"/>
          <w:sz w:val="24"/>
          <w:szCs w:val="24"/>
        </w:rPr>
      </w:pPr>
    </w:p>
    <w:p w:rsidR="00352A7B" w:rsidRPr="00976F0C" w:rsidRDefault="00E5219C" w:rsidP="001C77AA">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B45EA">
        <w:rPr>
          <w:rFonts w:ascii="Arial" w:hAnsi="Arial" w:cs="Arial"/>
          <w:color w:val="4BACC6" w:themeColor="accent5"/>
          <w:sz w:val="24"/>
          <w:szCs w:val="24"/>
        </w:rPr>
        <w:t xml:space="preserve">, el sujeto obligado remite como contestación </w:t>
      </w:r>
      <w:r w:rsidR="005E7A1A">
        <w:rPr>
          <w:rFonts w:ascii="Arial" w:hAnsi="Arial" w:cs="Arial"/>
          <w:color w:val="4BACC6" w:themeColor="accent5"/>
          <w:sz w:val="24"/>
          <w:szCs w:val="24"/>
        </w:rPr>
        <w:t>e</w:t>
      </w:r>
      <w:r w:rsidR="005B45EA">
        <w:rPr>
          <w:rFonts w:ascii="Arial" w:hAnsi="Arial" w:cs="Arial"/>
          <w:color w:val="4BACC6" w:themeColor="accent5"/>
          <w:sz w:val="24"/>
          <w:szCs w:val="24"/>
        </w:rPr>
        <w:t>l diverso</w:t>
      </w:r>
      <w:r w:rsidR="005E7A1A">
        <w:rPr>
          <w:rFonts w:ascii="Arial" w:hAnsi="Arial" w:cs="Arial"/>
          <w:color w:val="4BACC6" w:themeColor="accent5"/>
          <w:sz w:val="24"/>
          <w:szCs w:val="24"/>
        </w:rPr>
        <w:t xml:space="preserve"> </w:t>
      </w:r>
      <w:r w:rsidR="005B45EA">
        <w:rPr>
          <w:rFonts w:ascii="Arial" w:hAnsi="Arial" w:cs="Arial"/>
          <w:color w:val="4BACC6" w:themeColor="accent5"/>
          <w:sz w:val="24"/>
          <w:szCs w:val="24"/>
        </w:rPr>
        <w:t xml:space="preserve">U.T.0966/18 </w:t>
      </w:r>
      <w:r w:rsidR="006F697F" w:rsidRPr="00976F0C">
        <w:rPr>
          <w:rFonts w:ascii="Arial" w:hAnsi="Arial" w:cs="Arial"/>
          <w:color w:val="4BACC6" w:themeColor="accent5"/>
          <w:sz w:val="24"/>
          <w:szCs w:val="24"/>
        </w:rPr>
        <w:t>signado</w:t>
      </w:r>
      <w:r w:rsidR="006F697F">
        <w:rPr>
          <w:rFonts w:ascii="Arial" w:hAnsi="Arial" w:cs="Arial"/>
          <w:color w:val="4BACC6" w:themeColor="accent5"/>
          <w:sz w:val="24"/>
          <w:szCs w:val="24"/>
        </w:rPr>
        <w:t>s</w:t>
      </w:r>
      <w:r w:rsidR="006F697F" w:rsidRPr="00976F0C">
        <w:rPr>
          <w:rFonts w:ascii="Arial" w:hAnsi="Arial" w:cs="Arial"/>
          <w:color w:val="4BACC6" w:themeColor="accent5"/>
          <w:sz w:val="24"/>
          <w:szCs w:val="24"/>
        </w:rPr>
        <w:t xml:space="preserve"> por l</w:t>
      </w:r>
      <w:r w:rsidR="006F697F">
        <w:rPr>
          <w:rFonts w:ascii="Arial" w:hAnsi="Arial" w:cs="Arial"/>
          <w:color w:val="4BACC6" w:themeColor="accent5"/>
          <w:sz w:val="24"/>
          <w:szCs w:val="24"/>
        </w:rPr>
        <w:t>a</w:t>
      </w:r>
      <w:r w:rsidR="006F697F" w:rsidRPr="00976F0C">
        <w:rPr>
          <w:rFonts w:ascii="Arial" w:hAnsi="Arial" w:cs="Arial"/>
          <w:color w:val="4BACC6" w:themeColor="accent5"/>
          <w:sz w:val="24"/>
          <w:szCs w:val="24"/>
        </w:rPr>
        <w:t xml:space="preserve"> </w:t>
      </w:r>
      <w:r w:rsidR="00B65ABB">
        <w:rPr>
          <w:rFonts w:ascii="Arial" w:hAnsi="Arial" w:cs="Arial"/>
          <w:color w:val="4BACC6" w:themeColor="accent5"/>
          <w:sz w:val="24"/>
          <w:szCs w:val="24"/>
        </w:rPr>
        <w:t xml:space="preserve">Encargada del Despacho de la </w:t>
      </w:r>
      <w:r w:rsidR="00B65ABB" w:rsidRPr="00976F0C">
        <w:rPr>
          <w:rFonts w:ascii="Arial" w:hAnsi="Arial" w:cs="Arial"/>
          <w:color w:val="4BACC6" w:themeColor="accent5"/>
          <w:sz w:val="24"/>
          <w:szCs w:val="24"/>
        </w:rPr>
        <w:t>Unidad de Transparencia del</w:t>
      </w:r>
      <w:r w:rsidR="00B65ABB">
        <w:rPr>
          <w:rFonts w:ascii="Arial" w:hAnsi="Arial" w:cs="Arial"/>
          <w:color w:val="4BACC6" w:themeColor="accent5"/>
          <w:sz w:val="24"/>
          <w:szCs w:val="24"/>
        </w:rPr>
        <w:t xml:space="preserve"> Municipio de San Luis Potosí, los cuales remite en </w:t>
      </w:r>
      <w:r w:rsidR="00E94C22" w:rsidRPr="00976F0C">
        <w:rPr>
          <w:rFonts w:ascii="Arial" w:hAnsi="Arial" w:cs="Arial"/>
          <w:color w:val="4BACC6" w:themeColor="accent5"/>
          <w:sz w:val="24"/>
          <w:szCs w:val="24"/>
        </w:rPr>
        <w:t>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Default="00D11CA5" w:rsidP="00352A7B">
      <w:pPr>
        <w:spacing w:after="0" w:line="360" w:lineRule="auto"/>
        <w:jc w:val="both"/>
        <w:rPr>
          <w:rFonts w:ascii="Arial" w:hAnsi="Arial" w:cs="Arial"/>
          <w:color w:val="4BACC6" w:themeColor="accent5"/>
          <w:sz w:val="24"/>
          <w:szCs w:val="24"/>
        </w:rPr>
      </w:pPr>
    </w:p>
    <w:p w:rsidR="00D11CA5" w:rsidRDefault="00B65ABB" w:rsidP="00E5219C">
      <w:pPr>
        <w:spacing w:after="0" w:line="240" w:lineRule="auto"/>
        <w:ind w:firstLine="708"/>
        <w:jc w:val="both"/>
        <w:rPr>
          <w:rFonts w:ascii="Arial" w:hAnsi="Arial" w:cs="Arial"/>
          <w:i/>
          <w:color w:val="4BACC6" w:themeColor="accent5"/>
        </w:rPr>
      </w:pPr>
      <w:r w:rsidRPr="00B65ABB">
        <w:rPr>
          <w:rFonts w:ascii="Arial" w:hAnsi="Arial" w:cs="Arial"/>
          <w:i/>
          <w:color w:val="4BACC6" w:themeColor="accent5"/>
          <w:sz w:val="24"/>
          <w:szCs w:val="24"/>
        </w:rPr>
        <w:t xml:space="preserve"> </w:t>
      </w:r>
      <w:r>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5C208B">
        <w:rPr>
          <w:rFonts w:ascii="Arial" w:hAnsi="Arial" w:cs="Arial"/>
          <w:i/>
          <w:color w:val="4BACC6" w:themeColor="accent5"/>
        </w:rPr>
        <w:t>Se tenga a este sujeto obligado por dando cumplimiento al requerimiento de fecha 14 (catorce) de mayo del año en curso, adjuntando constancias con las que se acr</w:t>
      </w:r>
      <w:r w:rsidR="00AC53A2">
        <w:rPr>
          <w:rFonts w:ascii="Arial" w:hAnsi="Arial" w:cs="Arial"/>
          <w:i/>
          <w:color w:val="4BACC6" w:themeColor="accent5"/>
        </w:rPr>
        <w:t xml:space="preserve">edita el debido cumplimiento dado a la resolución de fecha (veintinueve) de abril del 2018 (dos mil dieciocho), dictada por esta Comisión. </w:t>
      </w:r>
      <w:r w:rsidR="00265B65" w:rsidRPr="00976F0C">
        <w:rPr>
          <w:rFonts w:ascii="Arial" w:hAnsi="Arial" w:cs="Arial"/>
          <w:i/>
          <w:color w:val="4BACC6" w:themeColor="accent5"/>
        </w:rPr>
        <w:t>[…]</w:t>
      </w:r>
    </w:p>
    <w:p w:rsidR="00EC6A22" w:rsidRDefault="00EC6A22" w:rsidP="00976F0C">
      <w:pPr>
        <w:spacing w:after="0" w:line="240" w:lineRule="auto"/>
        <w:ind w:firstLine="708"/>
        <w:jc w:val="both"/>
        <w:rPr>
          <w:rFonts w:ascii="Arial" w:hAnsi="Arial" w:cs="Arial"/>
          <w:i/>
          <w:color w:val="4BACC6" w:themeColor="accent5"/>
        </w:rPr>
      </w:pPr>
    </w:p>
    <w:p w:rsidR="00EC6A22" w:rsidRDefault="00EC6A22" w:rsidP="00976F0C">
      <w:pPr>
        <w:spacing w:after="0" w:line="240" w:lineRule="auto"/>
        <w:ind w:firstLine="708"/>
        <w:jc w:val="both"/>
        <w:rPr>
          <w:rFonts w:ascii="Arial" w:hAnsi="Arial" w:cs="Arial"/>
          <w:i/>
          <w:color w:val="4BACC6" w:themeColor="accent5"/>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5F6634">
        <w:rPr>
          <w:rFonts w:cs="Arial"/>
          <w:color w:val="4BACC6" w:themeColor="accent5"/>
          <w:sz w:val="24"/>
          <w:szCs w:val="24"/>
        </w:rPr>
        <w:t>5</w:t>
      </w:r>
      <w:r w:rsidR="00AC53A2">
        <w:rPr>
          <w:rFonts w:cs="Arial"/>
          <w:color w:val="4BACC6" w:themeColor="accent5"/>
          <w:sz w:val="24"/>
          <w:szCs w:val="24"/>
        </w:rPr>
        <w:t>3</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AC53A2">
        <w:rPr>
          <w:rFonts w:cs="Arial"/>
          <w:color w:val="4BACC6" w:themeColor="accent5"/>
          <w:sz w:val="24"/>
          <w:szCs w:val="24"/>
        </w:rPr>
        <w:t>187</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Default="00AF0D89" w:rsidP="00AF0D89">
      <w:pPr>
        <w:pStyle w:val="corte4fondo"/>
        <w:tabs>
          <w:tab w:val="left" w:pos="567"/>
        </w:tabs>
        <w:rPr>
          <w:rFonts w:cs="Arial"/>
          <w:color w:val="4BACC6" w:themeColor="accent5"/>
          <w:sz w:val="24"/>
          <w:szCs w:val="24"/>
        </w:rPr>
      </w:pPr>
    </w:p>
    <w:p w:rsidR="008A005B" w:rsidRDefault="008A005B" w:rsidP="00AF0D89">
      <w:pPr>
        <w:pStyle w:val="corte4fondo"/>
        <w:tabs>
          <w:tab w:val="left" w:pos="567"/>
        </w:tabs>
        <w:rPr>
          <w:rFonts w:cs="Arial"/>
          <w:color w:val="4BACC6" w:themeColor="accent5"/>
          <w:sz w:val="24"/>
          <w:szCs w:val="24"/>
        </w:rPr>
      </w:pPr>
    </w:p>
    <w:p w:rsidR="008A005B" w:rsidRDefault="008A005B" w:rsidP="00AF0D89">
      <w:pPr>
        <w:pStyle w:val="corte4fondo"/>
        <w:tabs>
          <w:tab w:val="left" w:pos="567"/>
        </w:tabs>
        <w:rPr>
          <w:rFonts w:cs="Arial"/>
          <w:color w:val="4BACC6" w:themeColor="accent5"/>
          <w:sz w:val="24"/>
          <w:szCs w:val="24"/>
        </w:rPr>
      </w:pPr>
    </w:p>
    <w:p w:rsidR="008A005B" w:rsidRDefault="008A005B" w:rsidP="00AF0D89">
      <w:pPr>
        <w:pStyle w:val="corte4fondo"/>
        <w:tabs>
          <w:tab w:val="left" w:pos="567"/>
        </w:tabs>
        <w:rPr>
          <w:rFonts w:cs="Arial"/>
          <w:color w:val="4BACC6" w:themeColor="accent5"/>
          <w:sz w:val="24"/>
          <w:szCs w:val="24"/>
        </w:rPr>
      </w:pPr>
    </w:p>
    <w:p w:rsidR="009363D3" w:rsidRPr="00D7336A" w:rsidRDefault="009363D3" w:rsidP="009363D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Así las cosas,</w:t>
      </w:r>
      <w:r>
        <w:rPr>
          <w:rFonts w:ascii="Arial" w:hAnsi="Arial" w:cs="Arial"/>
          <w:color w:val="4BACC6" w:themeColor="accent5"/>
          <w:sz w:val="24"/>
          <w:szCs w:val="24"/>
        </w:rPr>
        <w:t xml:space="preserve"> el sujeto obligado también </w:t>
      </w:r>
      <w:r w:rsidRPr="00D7336A">
        <w:rPr>
          <w:rFonts w:ascii="Arial" w:hAnsi="Arial" w:cs="Arial"/>
          <w:color w:val="4BACC6" w:themeColor="accent5"/>
          <w:sz w:val="24"/>
          <w:szCs w:val="24"/>
        </w:rPr>
        <w:t xml:space="preserve">obra la constancia que acredita que el sujeto obligado envió al recurrente por correo electrónico en formato electrónico la información que aquí se ha estudiado, toda vez que del contenido de la referida constancia se advierte que la dirección electrónica corresponde con la que señalo el recurrente para oír y recibir notificaciones. </w:t>
      </w:r>
    </w:p>
    <w:p w:rsidR="00AC53A2" w:rsidRPr="00976F0C" w:rsidRDefault="00AC53A2" w:rsidP="00AF0D89">
      <w:pPr>
        <w:pStyle w:val="corte4fondo"/>
        <w:tabs>
          <w:tab w:val="left" w:pos="567"/>
        </w:tabs>
        <w:rPr>
          <w:rFonts w:cs="Arial"/>
          <w:color w:val="4BACC6" w:themeColor="accent5"/>
          <w:sz w:val="24"/>
          <w:szCs w:val="24"/>
        </w:rPr>
      </w:pPr>
    </w:p>
    <w:p w:rsidR="00523D76" w:rsidRPr="00976F0C" w:rsidRDefault="00323EF9"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De tal suerte, se tiene que las documentales remitidas por el sujeto obligado, son suficientes para colmar los extremos fijados en la resolución de mérito y p</w:t>
      </w:r>
      <w:r>
        <w:rPr>
          <w:rFonts w:cs="Arial"/>
          <w:color w:val="4BACC6" w:themeColor="accent5"/>
          <w:sz w:val="24"/>
          <w:szCs w:val="24"/>
        </w:rPr>
        <w:t>or tanto se encuentra cumplida, toda vez que la información proporcionada por el sujeto obligado da cuenta de</w:t>
      </w:r>
      <w:r w:rsidR="00E6788C">
        <w:rPr>
          <w:rFonts w:cs="Arial"/>
          <w:color w:val="4BACC6" w:themeColor="accent5"/>
          <w:sz w:val="24"/>
          <w:szCs w:val="24"/>
        </w:rPr>
        <w:t xml:space="preserve"> </w:t>
      </w:r>
      <w:r>
        <w:rPr>
          <w:rFonts w:cs="Arial"/>
          <w:color w:val="4BACC6" w:themeColor="accent5"/>
          <w:sz w:val="24"/>
          <w:szCs w:val="24"/>
        </w:rPr>
        <w:t>l</w:t>
      </w:r>
      <w:r w:rsidR="00E6788C">
        <w:rPr>
          <w:rFonts w:cs="Arial"/>
          <w:color w:val="4BACC6" w:themeColor="accent5"/>
          <w:sz w:val="24"/>
          <w:szCs w:val="24"/>
        </w:rPr>
        <w:t>os 132 documentos en los cuales se remite la información de la proveedora C. Claudia (…) así como un CD-R y la notificación al recurrente en donde se le remiten, así mismo, remite el acta de Comité de Transparencia por el cual reserva información clasificada en virtud de contener datos personales</w:t>
      </w:r>
      <w:r>
        <w:rPr>
          <w:rFonts w:cs="Arial"/>
          <w:color w:val="4BACC6" w:themeColor="accent5"/>
          <w:sz w:val="24"/>
          <w:szCs w:val="24"/>
        </w:rPr>
        <w:t xml:space="preserve"> términos del artículo </w:t>
      </w:r>
      <w:r w:rsidR="00813BA7" w:rsidRPr="00976F0C">
        <w:rPr>
          <w:rFonts w:cs="Arial"/>
          <w:color w:val="4BACC6" w:themeColor="accent5"/>
          <w:sz w:val="24"/>
          <w:szCs w:val="24"/>
        </w:rPr>
        <w:t>1</w:t>
      </w:r>
      <w:r w:rsidR="00E6788C">
        <w:rPr>
          <w:rFonts w:cs="Arial"/>
          <w:color w:val="4BACC6" w:themeColor="accent5"/>
          <w:sz w:val="24"/>
          <w:szCs w:val="24"/>
        </w:rPr>
        <w:t>59</w:t>
      </w:r>
      <w:r w:rsidR="00523D76" w:rsidRPr="00976F0C">
        <w:rPr>
          <w:rFonts w:cs="Arial"/>
          <w:color w:val="4BACC6" w:themeColor="accent5"/>
          <w:sz w:val="24"/>
          <w:szCs w:val="24"/>
        </w:rPr>
        <w:t xml:space="preserve"> 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E6788C" w:rsidRPr="003C7B6F" w:rsidRDefault="00523D76" w:rsidP="00E6788C">
      <w:pPr>
        <w:spacing w:line="240" w:lineRule="auto"/>
        <w:ind w:left="708"/>
        <w:jc w:val="both"/>
        <w:rPr>
          <w:rFonts w:ascii="Arial" w:hAnsi="Arial" w:cs="Arial"/>
          <w:i/>
          <w:color w:val="4BACC6" w:themeColor="accent5"/>
          <w:sz w:val="20"/>
          <w:szCs w:val="20"/>
        </w:rPr>
      </w:pPr>
      <w:r w:rsidRPr="003C7B6F">
        <w:rPr>
          <w:rFonts w:ascii="Arial" w:hAnsi="Arial" w:cs="Arial"/>
          <w:i/>
          <w:color w:val="4BACC6" w:themeColor="accent5"/>
          <w:sz w:val="20"/>
          <w:szCs w:val="20"/>
        </w:rPr>
        <w:t>“</w:t>
      </w:r>
      <w:r w:rsidR="00E6788C" w:rsidRPr="003C7B6F">
        <w:rPr>
          <w:rFonts w:ascii="Arial" w:hAnsi="Arial" w:cs="Arial"/>
          <w:b/>
          <w:i/>
          <w:color w:val="4BACC6" w:themeColor="accent5"/>
          <w:sz w:val="20"/>
          <w:szCs w:val="20"/>
        </w:rPr>
        <w:t>ARTÍCULO 159.</w:t>
      </w:r>
      <w:r w:rsidR="00E6788C" w:rsidRPr="003C7B6F">
        <w:rPr>
          <w:rFonts w:ascii="Arial" w:hAnsi="Arial" w:cs="Arial"/>
          <w:i/>
          <w:color w:val="4BACC6" w:themeColor="accent5"/>
          <w:sz w:val="20"/>
          <w:szCs w:val="20"/>
        </w:rPr>
        <w:t xml:space="preserve"> En caso de que los sujetos obligados consideren que los documentos o la información deba ser clasificada, se sujetará a lo siguiente:</w:t>
      </w:r>
    </w:p>
    <w:p w:rsidR="00E6788C" w:rsidRPr="003C7B6F" w:rsidRDefault="00E6788C" w:rsidP="00E6788C">
      <w:pPr>
        <w:spacing w:line="240" w:lineRule="auto"/>
        <w:ind w:left="708"/>
        <w:jc w:val="both"/>
        <w:rPr>
          <w:rFonts w:ascii="Arial" w:hAnsi="Arial" w:cs="Arial"/>
          <w:i/>
          <w:color w:val="4BACC6" w:themeColor="accent5"/>
          <w:sz w:val="20"/>
          <w:szCs w:val="20"/>
        </w:rPr>
      </w:pPr>
      <w:r w:rsidRPr="003C7B6F">
        <w:rPr>
          <w:rFonts w:ascii="Arial" w:hAnsi="Arial" w:cs="Arial"/>
          <w:i/>
          <w:color w:val="4BACC6" w:themeColor="accent5"/>
          <w:sz w:val="20"/>
          <w:szCs w:val="20"/>
        </w:rPr>
        <w:t>El Área deberá remitir la solicitud, así como un escrito en el que funde y motive la clasificación al Comité de Transparencia, mismo que deberá resolver para:</w:t>
      </w:r>
    </w:p>
    <w:p w:rsidR="00E6788C" w:rsidRPr="003C7B6F" w:rsidRDefault="00E6788C" w:rsidP="00E6788C">
      <w:pPr>
        <w:numPr>
          <w:ilvl w:val="0"/>
          <w:numId w:val="20"/>
        </w:numPr>
        <w:spacing w:after="210" w:line="240" w:lineRule="auto"/>
        <w:ind w:hanging="340"/>
        <w:jc w:val="both"/>
        <w:rPr>
          <w:rFonts w:ascii="Arial" w:hAnsi="Arial" w:cs="Arial"/>
          <w:i/>
          <w:color w:val="4BACC6" w:themeColor="accent5"/>
          <w:sz w:val="20"/>
          <w:szCs w:val="20"/>
        </w:rPr>
      </w:pPr>
      <w:r w:rsidRPr="003C7B6F">
        <w:rPr>
          <w:rFonts w:ascii="Arial" w:hAnsi="Arial" w:cs="Arial"/>
          <w:i/>
          <w:color w:val="4BACC6" w:themeColor="accent5"/>
          <w:sz w:val="20"/>
          <w:szCs w:val="20"/>
        </w:rPr>
        <w:t>Confirmar la clasificación;</w:t>
      </w:r>
    </w:p>
    <w:p w:rsidR="00E6788C" w:rsidRPr="003C7B6F" w:rsidRDefault="00E6788C" w:rsidP="00E6788C">
      <w:pPr>
        <w:numPr>
          <w:ilvl w:val="0"/>
          <w:numId w:val="20"/>
        </w:numPr>
        <w:spacing w:after="210" w:line="240" w:lineRule="auto"/>
        <w:ind w:hanging="340"/>
        <w:jc w:val="both"/>
        <w:rPr>
          <w:rFonts w:ascii="Arial" w:hAnsi="Arial" w:cs="Arial"/>
          <w:i/>
          <w:color w:val="4BACC6" w:themeColor="accent5"/>
          <w:sz w:val="20"/>
          <w:szCs w:val="20"/>
        </w:rPr>
      </w:pPr>
      <w:r w:rsidRPr="003C7B6F">
        <w:rPr>
          <w:rFonts w:ascii="Arial" w:hAnsi="Arial" w:cs="Arial"/>
          <w:i/>
          <w:color w:val="4BACC6" w:themeColor="accent5"/>
          <w:sz w:val="20"/>
          <w:szCs w:val="20"/>
        </w:rPr>
        <w:t>Modificar la clasificación y otorgar total o parcialmente el acceso a la información, y</w:t>
      </w:r>
    </w:p>
    <w:p w:rsidR="00E6788C" w:rsidRPr="003C7B6F" w:rsidRDefault="00E6788C" w:rsidP="00E6788C">
      <w:pPr>
        <w:numPr>
          <w:ilvl w:val="0"/>
          <w:numId w:val="20"/>
        </w:numPr>
        <w:spacing w:after="210" w:line="240" w:lineRule="auto"/>
        <w:ind w:hanging="340"/>
        <w:jc w:val="both"/>
        <w:rPr>
          <w:rFonts w:ascii="Arial" w:hAnsi="Arial" w:cs="Arial"/>
          <w:i/>
          <w:color w:val="4BACC6" w:themeColor="accent5"/>
          <w:sz w:val="20"/>
          <w:szCs w:val="20"/>
        </w:rPr>
      </w:pPr>
      <w:r w:rsidRPr="003C7B6F">
        <w:rPr>
          <w:rFonts w:ascii="Arial" w:hAnsi="Arial" w:cs="Arial"/>
          <w:i/>
          <w:color w:val="4BACC6" w:themeColor="accent5"/>
          <w:sz w:val="20"/>
          <w:szCs w:val="20"/>
        </w:rPr>
        <w:t>Revocar la clasificación y conceder el acceso a la información.</w:t>
      </w:r>
    </w:p>
    <w:p w:rsidR="00E6788C" w:rsidRPr="003C7B6F" w:rsidRDefault="00E6788C" w:rsidP="00E6788C">
      <w:pPr>
        <w:spacing w:line="240" w:lineRule="auto"/>
        <w:ind w:left="680"/>
        <w:jc w:val="both"/>
        <w:rPr>
          <w:rFonts w:ascii="Arial" w:hAnsi="Arial" w:cs="Arial"/>
          <w:i/>
          <w:color w:val="4BACC6" w:themeColor="accent5"/>
          <w:sz w:val="20"/>
          <w:szCs w:val="20"/>
        </w:rPr>
      </w:pPr>
      <w:r w:rsidRPr="003C7B6F">
        <w:rPr>
          <w:rFonts w:ascii="Arial" w:hAnsi="Arial" w:cs="Arial"/>
          <w:i/>
          <w:color w:val="4BACC6" w:themeColor="accent5"/>
          <w:sz w:val="20"/>
          <w:szCs w:val="20"/>
        </w:rPr>
        <w:t>El Comité de Transparencia podrá tener acceso a la información que esté en poder del Área correspondiente, de la cual se haya solicitado su clasificación.</w:t>
      </w:r>
    </w:p>
    <w:p w:rsidR="00523D76" w:rsidRPr="003C7B6F" w:rsidRDefault="00E6788C" w:rsidP="00E6788C">
      <w:pPr>
        <w:spacing w:line="240" w:lineRule="auto"/>
        <w:ind w:left="680"/>
        <w:jc w:val="both"/>
        <w:rPr>
          <w:rFonts w:ascii="Arial" w:hAnsi="Arial" w:cs="Arial"/>
          <w:i/>
          <w:color w:val="4BACC6" w:themeColor="accent5"/>
          <w:sz w:val="20"/>
          <w:szCs w:val="20"/>
        </w:rPr>
      </w:pPr>
      <w:r w:rsidRPr="003C7B6F">
        <w:rPr>
          <w:rFonts w:ascii="Arial" w:hAnsi="Arial" w:cs="Arial"/>
          <w:i/>
          <w:color w:val="4BACC6" w:themeColor="accent5"/>
          <w:sz w:val="20"/>
          <w:szCs w:val="20"/>
        </w:rPr>
        <w:t>La resolución del Comité de Transparencia será notificada al interesado en el plazo de respuesta a la solicitud que establece el artículo 154 de la presente Ley.</w:t>
      </w:r>
      <w:r w:rsidR="00523D76" w:rsidRPr="003C7B6F">
        <w:rPr>
          <w:rFonts w:ascii="Arial" w:hAnsi="Arial" w:cs="Arial"/>
          <w:i/>
          <w:color w:val="4BACC6" w:themeColor="accent5"/>
          <w:sz w:val="20"/>
          <w:szCs w:val="20"/>
        </w:rPr>
        <w:t>”</w:t>
      </w:r>
    </w:p>
    <w:p w:rsidR="009363D3" w:rsidRPr="00D7336A" w:rsidRDefault="009363D3" w:rsidP="009363D3">
      <w:pPr>
        <w:spacing w:after="0" w:line="360" w:lineRule="auto"/>
        <w:jc w:val="both"/>
        <w:rPr>
          <w:rFonts w:ascii="Arial" w:hAnsi="Arial" w:cs="Arial"/>
          <w:color w:val="4BACC6" w:themeColor="accent5"/>
          <w:sz w:val="24"/>
          <w:szCs w:val="24"/>
        </w:rPr>
      </w:pPr>
    </w:p>
    <w:p w:rsidR="009363D3" w:rsidRDefault="009363D3" w:rsidP="003C7B6F">
      <w:pPr>
        <w:pStyle w:val="corte4fondo"/>
        <w:tabs>
          <w:tab w:val="left" w:pos="567"/>
        </w:tabs>
        <w:rPr>
          <w:rFonts w:cs="Arial"/>
          <w:color w:val="4BACC6" w:themeColor="accent5"/>
          <w:sz w:val="24"/>
          <w:szCs w:val="24"/>
        </w:rPr>
      </w:pPr>
      <w:r w:rsidRPr="00D7336A">
        <w:rPr>
          <w:rFonts w:cs="Arial"/>
          <w:color w:val="4BACC6" w:themeColor="accent5"/>
          <w:sz w:val="24"/>
          <w:szCs w:val="24"/>
        </w:rPr>
        <w:t>De tal suerte, se tiene que las documentales remitidas por el sujeto obligado, son suficientes para colmar los extremos fijados en la resolución de mérito y p</w:t>
      </w:r>
      <w:r>
        <w:rPr>
          <w:rFonts w:cs="Arial"/>
          <w:color w:val="4BACC6" w:themeColor="accent5"/>
          <w:sz w:val="24"/>
          <w:szCs w:val="24"/>
        </w:rPr>
        <w:t>or tanto se encuentra cumplida, toda vez que la información proporcionada por el sujeto obligado da cuenta de</w:t>
      </w:r>
      <w:r w:rsidR="003C7B6F">
        <w:rPr>
          <w:rFonts w:cs="Arial"/>
          <w:color w:val="4BACC6" w:themeColor="accent5"/>
          <w:sz w:val="24"/>
          <w:szCs w:val="24"/>
        </w:rPr>
        <w:t xml:space="preserve"> </w:t>
      </w:r>
      <w:r>
        <w:rPr>
          <w:rFonts w:cs="Arial"/>
          <w:color w:val="4BACC6" w:themeColor="accent5"/>
          <w:sz w:val="24"/>
          <w:szCs w:val="24"/>
        </w:rPr>
        <w:t>l</w:t>
      </w:r>
      <w:r w:rsidR="003C7B6F">
        <w:rPr>
          <w:rFonts w:cs="Arial"/>
          <w:color w:val="4BACC6" w:themeColor="accent5"/>
          <w:sz w:val="24"/>
          <w:szCs w:val="24"/>
        </w:rPr>
        <w:t>os</w:t>
      </w:r>
      <w:r>
        <w:rPr>
          <w:rFonts w:cs="Arial"/>
          <w:color w:val="4BACC6" w:themeColor="accent5"/>
          <w:sz w:val="24"/>
          <w:szCs w:val="24"/>
        </w:rPr>
        <w:t xml:space="preserve"> </w:t>
      </w:r>
      <w:r w:rsidR="003C7B6F">
        <w:rPr>
          <w:rFonts w:cs="Arial"/>
          <w:color w:val="4BACC6" w:themeColor="accent5"/>
          <w:sz w:val="24"/>
          <w:szCs w:val="24"/>
        </w:rPr>
        <w:t xml:space="preserve">132 documentos en los cuales se remite la información de la proveedora C. Claudia (…) así como un CD-R y la notificación al recurrente en donde se le remiten, así mismo, remite el acta de Comité de Transparencia por el cual reserva información clasificada en virtud de contener datos personales términos del artículo </w:t>
      </w:r>
      <w:r w:rsidR="003C7B6F" w:rsidRPr="00976F0C">
        <w:rPr>
          <w:rFonts w:cs="Arial"/>
          <w:color w:val="4BACC6" w:themeColor="accent5"/>
          <w:sz w:val="24"/>
          <w:szCs w:val="24"/>
        </w:rPr>
        <w:t>1</w:t>
      </w:r>
      <w:r w:rsidR="003C7B6F">
        <w:rPr>
          <w:rFonts w:cs="Arial"/>
          <w:color w:val="4BACC6" w:themeColor="accent5"/>
          <w:sz w:val="24"/>
          <w:szCs w:val="24"/>
        </w:rPr>
        <w:t>59</w:t>
      </w:r>
      <w:r w:rsidR="003C7B6F" w:rsidRPr="00976F0C">
        <w:rPr>
          <w:rFonts w:cs="Arial"/>
          <w:color w:val="4BACC6" w:themeColor="accent5"/>
          <w:sz w:val="24"/>
          <w:szCs w:val="24"/>
        </w:rPr>
        <w:t xml:space="preserve"> de la Ley de Transparencia y Acceso a la Información Pública del Estado</w:t>
      </w:r>
      <w:r w:rsidR="003C7B6F">
        <w:rPr>
          <w:rFonts w:cs="Arial"/>
          <w:color w:val="4BACC6" w:themeColor="accent5"/>
          <w:sz w:val="24"/>
          <w:szCs w:val="24"/>
        </w:rPr>
        <w:t>.</w:t>
      </w:r>
    </w:p>
    <w:p w:rsidR="003C7B6F" w:rsidRPr="00D7336A" w:rsidRDefault="003C7B6F" w:rsidP="003C7B6F">
      <w:pPr>
        <w:pStyle w:val="corte4fondo"/>
        <w:tabs>
          <w:tab w:val="left" w:pos="567"/>
        </w:tabs>
        <w:rPr>
          <w:rFonts w:cs="Arial"/>
          <w:color w:val="4BACC6" w:themeColor="accent5"/>
          <w:sz w:val="24"/>
          <w:szCs w:val="24"/>
        </w:rPr>
      </w:pPr>
    </w:p>
    <w:p w:rsidR="009363D3" w:rsidRPr="00D7336A" w:rsidRDefault="009363D3" w:rsidP="009363D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 xml:space="preserve">Por otro lado, esta Comisión por medio de proveído de </w:t>
      </w:r>
      <w:r w:rsidR="008A005B">
        <w:rPr>
          <w:rFonts w:ascii="Arial" w:hAnsi="Arial" w:cs="Arial"/>
          <w:color w:val="4BACC6" w:themeColor="accent5"/>
          <w:sz w:val="24"/>
          <w:szCs w:val="24"/>
        </w:rPr>
        <w:t xml:space="preserve">dieciocho de junio del </w:t>
      </w:r>
      <w:r>
        <w:rPr>
          <w:rFonts w:ascii="Arial" w:hAnsi="Arial" w:cs="Arial"/>
          <w:color w:val="4BACC6" w:themeColor="accent5"/>
          <w:sz w:val="24"/>
          <w:szCs w:val="24"/>
        </w:rPr>
        <w:t>año en curso</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Pr>
          <w:rFonts w:ascii="Arial" w:hAnsi="Arial" w:cs="Arial"/>
          <w:color w:val="4BACC6" w:themeColor="accent5"/>
          <w:sz w:val="24"/>
          <w:szCs w:val="24"/>
        </w:rPr>
        <w:t xml:space="preserve"> visibles a fojas 1</w:t>
      </w:r>
      <w:r w:rsidR="008A005B">
        <w:rPr>
          <w:rFonts w:ascii="Arial" w:hAnsi="Arial" w:cs="Arial"/>
          <w:color w:val="4BACC6" w:themeColor="accent5"/>
          <w:sz w:val="24"/>
          <w:szCs w:val="24"/>
        </w:rPr>
        <w:t>89</w:t>
      </w:r>
      <w:r>
        <w:rPr>
          <w:rFonts w:ascii="Arial" w:hAnsi="Arial" w:cs="Arial"/>
          <w:color w:val="4BACC6" w:themeColor="accent5"/>
          <w:sz w:val="24"/>
          <w:szCs w:val="24"/>
        </w:rPr>
        <w:t xml:space="preserve"> y 1</w:t>
      </w:r>
      <w:r w:rsidR="008A005B">
        <w:rPr>
          <w:rFonts w:ascii="Arial" w:hAnsi="Arial" w:cs="Arial"/>
          <w:color w:val="4BACC6" w:themeColor="accent5"/>
          <w:sz w:val="24"/>
          <w:szCs w:val="24"/>
        </w:rPr>
        <w:t>91</w:t>
      </w:r>
      <w:r w:rsidRPr="00D7336A">
        <w:rPr>
          <w:rFonts w:ascii="Arial" w:hAnsi="Arial" w:cs="Arial"/>
          <w:color w:val="4BACC6" w:themeColor="accent5"/>
          <w:sz w:val="24"/>
          <w:szCs w:val="24"/>
        </w:rPr>
        <w:t xml:space="preserve"> de autos.</w:t>
      </w:r>
    </w:p>
    <w:p w:rsidR="009363D3" w:rsidRPr="00D7336A" w:rsidRDefault="009363D3" w:rsidP="009363D3">
      <w:pPr>
        <w:spacing w:after="0" w:line="360" w:lineRule="auto"/>
        <w:ind w:firstLine="709"/>
        <w:jc w:val="both"/>
        <w:rPr>
          <w:rFonts w:ascii="Arial" w:hAnsi="Arial" w:cs="Arial"/>
          <w:color w:val="4BACC6" w:themeColor="accent5"/>
          <w:sz w:val="24"/>
          <w:szCs w:val="24"/>
        </w:rPr>
      </w:pPr>
    </w:p>
    <w:p w:rsidR="009363D3" w:rsidRPr="00D7336A" w:rsidRDefault="009363D3" w:rsidP="009363D3">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9363D3" w:rsidRPr="00D7336A" w:rsidRDefault="009363D3" w:rsidP="009363D3">
      <w:pPr>
        <w:spacing w:after="0" w:line="360" w:lineRule="auto"/>
        <w:ind w:firstLine="709"/>
        <w:jc w:val="both"/>
        <w:rPr>
          <w:rFonts w:ascii="Arial" w:hAnsi="Arial" w:cs="Arial"/>
          <w:color w:val="4BACC6" w:themeColor="accent5"/>
          <w:sz w:val="24"/>
          <w:szCs w:val="24"/>
        </w:rPr>
      </w:pPr>
    </w:p>
    <w:p w:rsidR="009363D3" w:rsidRPr="00D7336A" w:rsidRDefault="009363D3" w:rsidP="009363D3">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D7336A">
        <w:rPr>
          <w:rFonts w:ascii="Arial" w:hAnsi="Arial" w:cs="Arial"/>
          <w:b/>
          <w:color w:val="4BACC6" w:themeColor="accent5"/>
          <w:sz w:val="24"/>
          <w:szCs w:val="24"/>
        </w:rPr>
        <w:t xml:space="preserve">se tiene por cumplida la resolución, dictada </w:t>
      </w:r>
      <w:r>
        <w:rPr>
          <w:rFonts w:ascii="Arial" w:hAnsi="Arial" w:cs="Arial"/>
          <w:b/>
          <w:color w:val="4BACC6" w:themeColor="accent5"/>
          <w:sz w:val="24"/>
          <w:szCs w:val="24"/>
        </w:rPr>
        <w:t>en el recurso de revisión RR-166</w:t>
      </w:r>
      <w:r w:rsidRPr="00D7336A">
        <w:rPr>
          <w:rFonts w:ascii="Arial" w:hAnsi="Arial" w:cs="Arial"/>
          <w:b/>
          <w:color w:val="4BACC6" w:themeColor="accent5"/>
          <w:sz w:val="24"/>
          <w:szCs w:val="24"/>
        </w:rPr>
        <w:t>/201</w:t>
      </w:r>
      <w:r>
        <w:rPr>
          <w:rFonts w:ascii="Arial" w:hAnsi="Arial" w:cs="Arial"/>
          <w:b/>
          <w:color w:val="4BACC6" w:themeColor="accent5"/>
          <w:sz w:val="24"/>
          <w:szCs w:val="24"/>
        </w:rPr>
        <w:t>8</w:t>
      </w:r>
      <w:r w:rsidRPr="00D7336A">
        <w:rPr>
          <w:rFonts w:ascii="Arial" w:hAnsi="Arial" w:cs="Arial"/>
          <w:b/>
          <w:color w:val="4BACC6" w:themeColor="accent5"/>
          <w:sz w:val="24"/>
          <w:szCs w:val="24"/>
        </w:rPr>
        <w:t>-1</w:t>
      </w:r>
      <w:r>
        <w:rPr>
          <w:rFonts w:ascii="Arial" w:hAnsi="Arial" w:cs="Arial"/>
          <w:b/>
          <w:color w:val="4BACC6" w:themeColor="accent5"/>
          <w:sz w:val="24"/>
          <w:szCs w:val="24"/>
        </w:rPr>
        <w:t xml:space="preserve"> PLATAFORMA</w:t>
      </w:r>
      <w:r w:rsidRPr="00D7336A">
        <w:rPr>
          <w:rFonts w:ascii="Arial" w:hAnsi="Arial" w:cs="Arial"/>
          <w:b/>
          <w:color w:val="4BACC6" w:themeColor="accent5"/>
          <w:sz w:val="24"/>
          <w:szCs w:val="24"/>
        </w:rPr>
        <w:t>.</w:t>
      </w:r>
    </w:p>
    <w:p w:rsidR="009363D3" w:rsidRPr="00D7336A" w:rsidRDefault="009363D3" w:rsidP="009363D3">
      <w:pPr>
        <w:spacing w:after="0" w:line="360" w:lineRule="auto"/>
        <w:ind w:firstLine="709"/>
        <w:jc w:val="both"/>
        <w:rPr>
          <w:rFonts w:ascii="Arial" w:hAnsi="Arial" w:cs="Arial"/>
          <w:b/>
          <w:color w:val="4BACC6" w:themeColor="accent5"/>
          <w:sz w:val="24"/>
          <w:szCs w:val="24"/>
        </w:rPr>
      </w:pPr>
    </w:p>
    <w:p w:rsidR="009363D3" w:rsidRPr="00D7336A" w:rsidRDefault="009363D3" w:rsidP="009363D3">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Por último, archívese en su oportunidad este expediente como asunto totalmente concluido. </w:t>
      </w:r>
      <w:r w:rsidRPr="00D7336A">
        <w:rPr>
          <w:rFonts w:ascii="Arial" w:hAnsi="Arial" w:cs="Arial"/>
          <w:b/>
          <w:color w:val="4BACC6" w:themeColor="accent5"/>
          <w:sz w:val="24"/>
          <w:szCs w:val="24"/>
        </w:rPr>
        <w:t>Notifíquese por lista y personalmente a las partes.</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w:t>
      </w:r>
      <w:r w:rsidR="009363D3">
        <w:rPr>
          <w:rFonts w:ascii="Arial" w:hAnsi="Arial" w:cs="Arial"/>
          <w:color w:val="4BACC6" w:themeColor="accent5"/>
          <w:sz w:val="24"/>
          <w:szCs w:val="24"/>
        </w:rPr>
        <w:t>onente</w:t>
      </w:r>
      <w:r w:rsidRPr="00976F0C">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w:t>
      </w:r>
      <w:r w:rsidR="009363D3">
        <w:rPr>
          <w:rFonts w:ascii="Arial" w:hAnsi="Arial" w:cs="Arial"/>
          <w:b/>
          <w:color w:val="4BACC6" w:themeColor="accent5"/>
          <w:sz w:val="24"/>
          <w:szCs w:val="24"/>
          <w:lang w:val="es-ES"/>
        </w:rPr>
        <w:t xml:space="preserve">           </w:t>
      </w:r>
      <w:r w:rsidRPr="00976F0C">
        <w:rPr>
          <w:rFonts w:ascii="Arial" w:hAnsi="Arial" w:cs="Arial"/>
          <w:b/>
          <w:color w:val="4BACC6" w:themeColor="accent5"/>
          <w:sz w:val="24"/>
          <w:szCs w:val="24"/>
          <w:lang w:val="es-ES"/>
        </w:rPr>
        <w:t>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w:t>
      </w:r>
      <w:r w:rsidR="009363D3">
        <w:rPr>
          <w:rFonts w:ascii="Arial" w:hAnsi="Arial" w:cs="Arial"/>
          <w:b/>
          <w:color w:val="4BACC6" w:themeColor="accent5"/>
          <w:sz w:val="24"/>
          <w:szCs w:val="24"/>
        </w:rPr>
        <w:t>onente</w:t>
      </w:r>
      <w:r w:rsidRPr="00976F0C">
        <w:rPr>
          <w:rFonts w:ascii="Arial" w:hAnsi="Arial" w:cs="Arial"/>
          <w:b/>
          <w:color w:val="4BACC6" w:themeColor="accent5"/>
          <w:sz w:val="24"/>
          <w:szCs w:val="24"/>
        </w:rPr>
        <w:t xml:space="preserve">                     </w:t>
      </w:r>
      <w:r w:rsidR="009363D3">
        <w:rPr>
          <w:rFonts w:ascii="Arial" w:hAnsi="Arial" w:cs="Arial"/>
          <w:b/>
          <w:color w:val="4BACC6" w:themeColor="accent5"/>
          <w:sz w:val="24"/>
          <w:szCs w:val="24"/>
        </w:rPr>
        <w:t xml:space="preserve">        </w:t>
      </w:r>
      <w:r w:rsidRPr="00976F0C">
        <w:rPr>
          <w:rFonts w:ascii="Arial" w:hAnsi="Arial" w:cs="Arial"/>
          <w:b/>
          <w:color w:val="4BACC6" w:themeColor="accent5"/>
          <w:sz w:val="24"/>
          <w:szCs w:val="24"/>
        </w:rPr>
        <w:t xml:space="preserve"> </w:t>
      </w:r>
      <w:r w:rsidR="009363D3">
        <w:rPr>
          <w:rFonts w:ascii="Arial" w:hAnsi="Arial" w:cs="Arial"/>
          <w:b/>
          <w:color w:val="4BACC6" w:themeColor="accent5"/>
          <w:sz w:val="24"/>
          <w:szCs w:val="24"/>
        </w:rPr>
        <w:t xml:space="preserv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Default="00845E58"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253570" w:rsidRDefault="00253570" w:rsidP="00845E58">
      <w:pPr>
        <w:spacing w:after="0" w:line="240" w:lineRule="auto"/>
        <w:ind w:firstLine="709"/>
        <w:jc w:val="both"/>
        <w:rPr>
          <w:rFonts w:ascii="Arial" w:hAnsi="Arial" w:cs="Arial"/>
          <w:color w:val="4BACC6" w:themeColor="accent5"/>
          <w:sz w:val="16"/>
          <w:szCs w:val="16"/>
        </w:rPr>
      </w:pPr>
    </w:p>
    <w:p w:rsidR="00D52D5C" w:rsidRDefault="00D52D5C" w:rsidP="00D52D5C">
      <w:pPr>
        <w:spacing w:after="0" w:line="240" w:lineRule="auto"/>
        <w:jc w:val="both"/>
        <w:rPr>
          <w:rFonts w:ascii="Arial" w:hAnsi="Arial" w:cs="Arial"/>
          <w:color w:val="4BACC6" w:themeColor="accent5"/>
          <w:sz w:val="16"/>
          <w:szCs w:val="16"/>
        </w:rPr>
      </w:pPr>
    </w:p>
    <w:p w:rsidR="00D52D5C" w:rsidRDefault="00D52D5C" w:rsidP="00D52D5C">
      <w:pPr>
        <w:spacing w:after="0" w:line="240" w:lineRule="auto"/>
        <w:jc w:val="both"/>
        <w:rPr>
          <w:rFonts w:ascii="Arial" w:hAnsi="Arial" w:cs="Arial"/>
          <w:color w:val="4BACC6" w:themeColor="accent5"/>
          <w:sz w:val="14"/>
          <w:szCs w:val="14"/>
        </w:rPr>
      </w:pPr>
    </w:p>
    <w:p w:rsidR="00D52D5C" w:rsidRDefault="00D52D5C" w:rsidP="00D52D5C">
      <w:pPr>
        <w:spacing w:after="0" w:line="240" w:lineRule="auto"/>
        <w:jc w:val="both"/>
        <w:rPr>
          <w:rFonts w:ascii="Arial" w:hAnsi="Arial" w:cs="Arial"/>
          <w:color w:val="4BACC6" w:themeColor="accent5"/>
          <w:sz w:val="14"/>
          <w:szCs w:val="14"/>
        </w:rPr>
      </w:pPr>
    </w:p>
    <w:p w:rsidR="00976F0C" w:rsidRPr="00407A45" w:rsidRDefault="00D72000" w:rsidP="00D52D5C">
      <w:pPr>
        <w:spacing w:after="0" w:line="240" w:lineRule="auto"/>
        <w:jc w:val="both"/>
        <w:rPr>
          <w:rFonts w:ascii="Arial" w:hAnsi="Arial" w:cs="Arial"/>
          <w:color w:val="4BACC6" w:themeColor="accent5"/>
          <w:sz w:val="14"/>
          <w:szCs w:val="14"/>
        </w:rPr>
      </w:pPr>
      <w:r w:rsidRPr="00407A45">
        <w:rPr>
          <w:rFonts w:ascii="Arial" w:hAnsi="Arial" w:cs="Arial"/>
          <w:color w:val="4BACC6" w:themeColor="accent5"/>
          <w:sz w:val="14"/>
          <w:szCs w:val="14"/>
        </w:rPr>
        <w:t>O</w:t>
      </w:r>
      <w:r w:rsidR="00E32AE9" w:rsidRPr="00407A45">
        <w:rPr>
          <w:rFonts w:ascii="Arial" w:hAnsi="Arial" w:cs="Arial"/>
          <w:color w:val="4BACC6" w:themeColor="accent5"/>
          <w:sz w:val="14"/>
          <w:szCs w:val="14"/>
        </w:rPr>
        <w:t>.</w:t>
      </w:r>
      <w:r w:rsidRPr="00407A45">
        <w:rPr>
          <w:rFonts w:ascii="Arial" w:hAnsi="Arial" w:cs="Arial"/>
          <w:color w:val="4BACC6" w:themeColor="accent5"/>
          <w:sz w:val="14"/>
          <w:szCs w:val="14"/>
        </w:rPr>
        <w:t>R.E</w:t>
      </w:r>
      <w:r w:rsidR="00E32AE9" w:rsidRPr="00407A45">
        <w:rPr>
          <w:rFonts w:ascii="Arial" w:hAnsi="Arial" w:cs="Arial"/>
          <w:color w:val="4BACC6" w:themeColor="accent5"/>
          <w:sz w:val="14"/>
          <w:szCs w:val="14"/>
        </w:rPr>
        <w:t>.</w:t>
      </w:r>
      <w:r w:rsidRPr="00407A45">
        <w:rPr>
          <w:rFonts w:ascii="Arial" w:hAnsi="Arial" w:cs="Arial"/>
          <w:color w:val="4BACC6" w:themeColor="accent5"/>
          <w:sz w:val="14"/>
          <w:szCs w:val="14"/>
        </w:rPr>
        <w:t>J</w:t>
      </w:r>
      <w:r w:rsidR="00E32AE9" w:rsidRPr="00407A45">
        <w:rPr>
          <w:rFonts w:ascii="Arial" w:hAnsi="Arial" w:cs="Arial"/>
          <w:color w:val="4BACC6" w:themeColor="accent5"/>
          <w:sz w:val="14"/>
          <w:szCs w:val="14"/>
        </w:rPr>
        <w:t>.</w:t>
      </w:r>
    </w:p>
    <w:p w:rsidR="00D52D5C" w:rsidRDefault="00D52D5C" w:rsidP="00976F0C">
      <w:pPr>
        <w:tabs>
          <w:tab w:val="left" w:pos="900"/>
        </w:tabs>
        <w:jc w:val="both"/>
        <w:rPr>
          <w:rFonts w:ascii="Arial" w:hAnsi="Arial" w:cs="Arial"/>
          <w:color w:val="4BACC6" w:themeColor="accent5"/>
          <w:sz w:val="16"/>
          <w:szCs w:val="16"/>
        </w:rPr>
      </w:pPr>
    </w:p>
    <w:p w:rsidR="00D52D5C" w:rsidRDefault="00D52D5C" w:rsidP="00976F0C">
      <w:pPr>
        <w:tabs>
          <w:tab w:val="left" w:pos="900"/>
        </w:tabs>
        <w:jc w:val="both"/>
        <w:rPr>
          <w:rFonts w:ascii="Arial" w:hAnsi="Arial" w:cs="Arial"/>
          <w:color w:val="4BACC6" w:themeColor="accent5"/>
          <w:sz w:val="16"/>
          <w:szCs w:val="16"/>
        </w:rPr>
      </w:pPr>
    </w:p>
    <w:p w:rsidR="00D52D5C" w:rsidRDefault="00D52D5C" w:rsidP="00976F0C">
      <w:pPr>
        <w:tabs>
          <w:tab w:val="left" w:pos="900"/>
        </w:tabs>
        <w:jc w:val="both"/>
        <w:rPr>
          <w:rFonts w:ascii="Arial" w:hAnsi="Arial" w:cs="Arial"/>
          <w:color w:val="4BACC6" w:themeColor="accent5"/>
          <w:sz w:val="16"/>
          <w:szCs w:val="16"/>
        </w:rPr>
      </w:pPr>
    </w:p>
    <w:p w:rsidR="00976F0C" w:rsidRDefault="00976F0C" w:rsidP="00976F0C">
      <w:pPr>
        <w:tabs>
          <w:tab w:val="left" w:pos="900"/>
        </w:tabs>
        <w:jc w:val="both"/>
        <w:rPr>
          <w:rFonts w:ascii="Arial" w:hAnsi="Arial" w:cs="Arial"/>
          <w:color w:val="4BACC6" w:themeColor="accent5"/>
          <w:sz w:val="16"/>
          <w:szCs w:val="16"/>
        </w:rPr>
      </w:pPr>
      <w:r w:rsidRPr="00005CB2">
        <w:rPr>
          <w:rFonts w:ascii="Arial" w:hAnsi="Arial" w:cs="Arial"/>
          <w:color w:val="4BACC6" w:themeColor="accent5"/>
          <w:sz w:val="16"/>
          <w:szCs w:val="16"/>
        </w:rPr>
        <w:t xml:space="preserve">(Esta foja pertenece a la parte final del proveído de </w:t>
      </w:r>
      <w:r w:rsidR="00D52D5C">
        <w:rPr>
          <w:rFonts w:ascii="Arial" w:hAnsi="Arial" w:cs="Arial"/>
          <w:color w:val="4BACC6" w:themeColor="accent5"/>
          <w:sz w:val="16"/>
          <w:szCs w:val="16"/>
        </w:rPr>
        <w:t>dieci</w:t>
      </w:r>
      <w:r w:rsidR="009C5040">
        <w:rPr>
          <w:rFonts w:ascii="Arial" w:hAnsi="Arial" w:cs="Arial"/>
          <w:color w:val="4BACC6" w:themeColor="accent5"/>
          <w:sz w:val="16"/>
          <w:szCs w:val="16"/>
        </w:rPr>
        <w:t>nueve</w:t>
      </w:r>
      <w:r w:rsidR="00D52D5C">
        <w:rPr>
          <w:rFonts w:ascii="Arial" w:hAnsi="Arial" w:cs="Arial"/>
          <w:color w:val="4BACC6" w:themeColor="accent5"/>
          <w:sz w:val="16"/>
          <w:szCs w:val="16"/>
        </w:rPr>
        <w:t xml:space="preserve"> de julio de </w:t>
      </w:r>
      <w:r w:rsidRPr="00005CB2">
        <w:rPr>
          <w:rFonts w:ascii="Arial" w:hAnsi="Arial" w:cs="Arial"/>
          <w:color w:val="4BACC6" w:themeColor="accent5"/>
          <w:sz w:val="16"/>
          <w:szCs w:val="16"/>
        </w:rPr>
        <w:t xml:space="preserve">dos mil dieciocho, dentro del recurso de revisión </w:t>
      </w:r>
      <w:r w:rsidR="00D52D5C">
        <w:rPr>
          <w:rFonts w:ascii="Arial" w:hAnsi="Arial" w:cs="Arial"/>
          <w:color w:val="4BACC6" w:themeColor="accent5"/>
          <w:sz w:val="16"/>
          <w:szCs w:val="16"/>
        </w:rPr>
        <w:t>166</w:t>
      </w:r>
      <w:r w:rsidRPr="00005CB2">
        <w:rPr>
          <w:rFonts w:ascii="Arial" w:hAnsi="Arial" w:cs="Arial"/>
          <w:color w:val="4BACC6" w:themeColor="accent5"/>
          <w:sz w:val="16"/>
          <w:szCs w:val="16"/>
        </w:rPr>
        <w:t>/201</w:t>
      </w:r>
      <w:r w:rsidR="00D52D5C">
        <w:rPr>
          <w:rFonts w:ascii="Arial" w:hAnsi="Arial" w:cs="Arial"/>
          <w:color w:val="4BACC6" w:themeColor="accent5"/>
          <w:sz w:val="16"/>
          <w:szCs w:val="16"/>
        </w:rPr>
        <w:t>8</w:t>
      </w:r>
      <w:r w:rsidRPr="00005CB2">
        <w:rPr>
          <w:rFonts w:ascii="Arial" w:hAnsi="Arial" w:cs="Arial"/>
          <w:color w:val="4BACC6" w:themeColor="accent5"/>
          <w:sz w:val="16"/>
          <w:szCs w:val="16"/>
        </w:rPr>
        <w:t>-1</w:t>
      </w:r>
      <w:r w:rsidR="00D52D5C">
        <w:rPr>
          <w:rFonts w:ascii="Arial" w:hAnsi="Arial" w:cs="Arial"/>
          <w:color w:val="4BACC6" w:themeColor="accent5"/>
          <w:sz w:val="16"/>
          <w:szCs w:val="16"/>
        </w:rPr>
        <w:t xml:space="preserve"> PLATAFORMA</w:t>
      </w:r>
      <w:r w:rsidRPr="00005CB2">
        <w:rPr>
          <w:rFonts w:ascii="Arial" w:hAnsi="Arial" w:cs="Arial"/>
          <w:color w:val="4BACC6" w:themeColor="accent5"/>
          <w:sz w:val="16"/>
          <w:szCs w:val="16"/>
        </w:rPr>
        <w:t>).</w:t>
      </w:r>
    </w:p>
    <w:p w:rsidR="00D52D5C" w:rsidRDefault="00D52D5C" w:rsidP="00976F0C">
      <w:pPr>
        <w:tabs>
          <w:tab w:val="left" w:pos="900"/>
        </w:tabs>
        <w:jc w:val="both"/>
        <w:rPr>
          <w:rFonts w:ascii="Arial" w:hAnsi="Arial" w:cs="Arial"/>
          <w:color w:val="4BACC6" w:themeColor="accent5"/>
          <w:sz w:val="16"/>
          <w:szCs w:val="16"/>
        </w:rPr>
      </w:pPr>
    </w:p>
    <w:p w:rsidR="00D52D5C" w:rsidRDefault="00D52D5C" w:rsidP="00976F0C">
      <w:pPr>
        <w:tabs>
          <w:tab w:val="left" w:pos="900"/>
        </w:tabs>
        <w:jc w:val="both"/>
        <w:rPr>
          <w:rFonts w:ascii="Arial" w:hAnsi="Arial" w:cs="Arial"/>
          <w:color w:val="4BACC6" w:themeColor="accent5"/>
          <w:sz w:val="16"/>
          <w:szCs w:val="16"/>
        </w:rPr>
      </w:pPr>
    </w:p>
    <w:p w:rsidR="00005CB2" w:rsidRPr="00005CB2" w:rsidRDefault="00005CB2" w:rsidP="00005CB2">
      <w:pPr>
        <w:jc w:val="both"/>
        <w:rPr>
          <w:rFonts w:ascii="Arial" w:hAnsi="Arial" w:cs="Arial"/>
          <w:color w:val="4472C4"/>
          <w:sz w:val="24"/>
          <w:szCs w:val="24"/>
        </w:rPr>
      </w:pPr>
      <w:bookmarkStart w:id="2" w:name="_Hlk507149478"/>
      <w:r w:rsidRPr="00005CB2">
        <w:rPr>
          <w:rFonts w:ascii="Arial" w:hAnsi="Arial" w:cs="Arial"/>
          <w:color w:val="4472C4"/>
          <w:sz w:val="24"/>
          <w:szCs w:val="24"/>
        </w:rPr>
        <w:lastRenderedPageBreak/>
        <w:t>A las ocho horas del día ___ de ___________ de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-DOY FE. - - - - - - - - - - - - - - - - - - - - -</w:t>
      </w:r>
      <w:r>
        <w:rPr>
          <w:rFonts w:ascii="Arial" w:hAnsi="Arial" w:cs="Arial"/>
          <w:color w:val="4472C4"/>
          <w:sz w:val="24"/>
          <w:szCs w:val="24"/>
        </w:rPr>
        <w:t xml:space="preserve"> - - - - - </w:t>
      </w:r>
    </w:p>
    <w:p w:rsidR="00005CB2" w:rsidRPr="00005CB2" w:rsidRDefault="00005CB2" w:rsidP="00005CB2">
      <w:pPr>
        <w:jc w:val="center"/>
        <w:rPr>
          <w:rFonts w:ascii="Arial" w:hAnsi="Arial" w:cs="Arial"/>
          <w:b/>
          <w:color w:val="4472C4"/>
          <w:sz w:val="24"/>
          <w:szCs w:val="24"/>
        </w:rPr>
      </w:pPr>
    </w:p>
    <w:p w:rsidR="00005CB2" w:rsidRPr="00005CB2" w:rsidRDefault="00005CB2" w:rsidP="00005CB2">
      <w:pPr>
        <w:jc w:val="center"/>
        <w:rPr>
          <w:rFonts w:ascii="Arial" w:hAnsi="Arial" w:cs="Arial"/>
          <w:b/>
          <w:color w:val="4472C4"/>
          <w:sz w:val="24"/>
          <w:szCs w:val="24"/>
        </w:rPr>
      </w:pPr>
    </w:p>
    <w:p w:rsidR="00005CB2" w:rsidRPr="00005CB2" w:rsidRDefault="00005CB2" w:rsidP="00005CB2">
      <w:pPr>
        <w:spacing w:after="0"/>
        <w:jc w:val="center"/>
        <w:rPr>
          <w:rFonts w:ascii="Arial" w:hAnsi="Arial" w:cs="Arial"/>
          <w:b/>
          <w:color w:val="4472C4"/>
          <w:sz w:val="24"/>
          <w:szCs w:val="24"/>
        </w:rPr>
      </w:pPr>
      <w:r w:rsidRPr="00005CB2">
        <w:rPr>
          <w:rFonts w:ascii="Arial" w:hAnsi="Arial" w:cs="Arial"/>
          <w:b/>
          <w:color w:val="4472C4"/>
          <w:sz w:val="24"/>
          <w:szCs w:val="24"/>
        </w:rPr>
        <w:t>Javier Pérez Limón</w:t>
      </w:r>
    </w:p>
    <w:p w:rsidR="00005CB2" w:rsidRPr="00005CB2" w:rsidRDefault="00005CB2" w:rsidP="00005CB2">
      <w:pPr>
        <w:spacing w:after="0"/>
        <w:jc w:val="center"/>
        <w:rPr>
          <w:rFonts w:ascii="Arial" w:hAnsi="Arial" w:cs="Arial"/>
          <w:b/>
          <w:color w:val="4472C4"/>
          <w:sz w:val="24"/>
          <w:szCs w:val="24"/>
        </w:rPr>
      </w:pPr>
      <w:r w:rsidRPr="00005CB2">
        <w:rPr>
          <w:rFonts w:ascii="Arial" w:hAnsi="Arial" w:cs="Arial"/>
          <w:b/>
          <w:color w:val="4472C4"/>
          <w:sz w:val="24"/>
          <w:szCs w:val="24"/>
        </w:rPr>
        <w:t>Notificador</w:t>
      </w:r>
      <w:bookmarkEnd w:id="2"/>
    </w:p>
    <w:sectPr w:rsidR="00005CB2" w:rsidRPr="00005CB2"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E80" w:rsidRDefault="001C1E80" w:rsidP="00A04BCB">
      <w:pPr>
        <w:spacing w:after="0" w:line="240" w:lineRule="auto"/>
      </w:pPr>
      <w:r>
        <w:separator/>
      </w:r>
    </w:p>
  </w:endnote>
  <w:endnote w:type="continuationSeparator" w:id="0">
    <w:p w:rsidR="001C1E80" w:rsidRDefault="001C1E80"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E80" w:rsidRDefault="001C1E80" w:rsidP="00A04BCB">
      <w:pPr>
        <w:spacing w:after="0" w:line="240" w:lineRule="auto"/>
      </w:pPr>
      <w:r>
        <w:separator/>
      </w:r>
    </w:p>
  </w:footnote>
  <w:footnote w:type="continuationSeparator" w:id="0">
    <w:p w:rsidR="001C1E80" w:rsidRDefault="001C1E80"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C93836">
      <w:rPr>
        <w:rFonts w:ascii="Arial" w:hAnsi="Arial" w:cs="Arial"/>
        <w:b/>
      </w:rPr>
      <w:t>166</w:t>
    </w:r>
    <w:r>
      <w:rPr>
        <w:rFonts w:ascii="Arial" w:hAnsi="Arial" w:cs="Arial"/>
        <w:b/>
      </w:rPr>
      <w:t>/201</w:t>
    </w:r>
    <w:r w:rsidR="00C93836">
      <w:rPr>
        <w:rFonts w:ascii="Arial" w:hAnsi="Arial" w:cs="Arial"/>
        <w:b/>
      </w:rPr>
      <w:t>8</w:t>
    </w:r>
    <w:r>
      <w:rPr>
        <w:rFonts w:ascii="Arial" w:hAnsi="Arial" w:cs="Arial"/>
        <w:b/>
      </w:rPr>
      <w:t>-1</w:t>
    </w:r>
    <w:r w:rsidR="00C93836">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380785B"/>
    <w:multiLevelType w:val="hybridMultilevel"/>
    <w:tmpl w:val="282ECD8A"/>
    <w:lvl w:ilvl="0" w:tplc="AC920EA2">
      <w:start w:val="1"/>
      <w:numFmt w:val="upperRoman"/>
      <w:lvlText w:val="%1."/>
      <w:lvlJc w:val="left"/>
      <w:pPr>
        <w:ind w:left="10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A46432CC">
      <w:start w:val="1"/>
      <w:numFmt w:val="lowerLetter"/>
      <w:lvlText w:val="%2"/>
      <w:lvlJc w:val="left"/>
      <w:pPr>
        <w:ind w:left="17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0F40613A">
      <w:start w:val="1"/>
      <w:numFmt w:val="lowerRoman"/>
      <w:lvlText w:val="%3"/>
      <w:lvlJc w:val="left"/>
      <w:pPr>
        <w:ind w:left="24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5BB0E836">
      <w:start w:val="1"/>
      <w:numFmt w:val="decimal"/>
      <w:lvlText w:val="%4"/>
      <w:lvlJc w:val="left"/>
      <w:pPr>
        <w:ind w:left="32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F9C0E44A">
      <w:start w:val="1"/>
      <w:numFmt w:val="lowerLetter"/>
      <w:lvlText w:val="%5"/>
      <w:lvlJc w:val="left"/>
      <w:pPr>
        <w:ind w:left="39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80A4A23E">
      <w:start w:val="1"/>
      <w:numFmt w:val="lowerRoman"/>
      <w:lvlText w:val="%6"/>
      <w:lvlJc w:val="left"/>
      <w:pPr>
        <w:ind w:left="46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A9F6C0FA">
      <w:start w:val="1"/>
      <w:numFmt w:val="decimal"/>
      <w:lvlText w:val="%7"/>
      <w:lvlJc w:val="left"/>
      <w:pPr>
        <w:ind w:left="53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C32AC860">
      <w:start w:val="1"/>
      <w:numFmt w:val="lowerLetter"/>
      <w:lvlText w:val="%8"/>
      <w:lvlJc w:val="left"/>
      <w:pPr>
        <w:ind w:left="6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9D787144">
      <w:start w:val="1"/>
      <w:numFmt w:val="lowerRoman"/>
      <w:lvlText w:val="%9"/>
      <w:lvlJc w:val="left"/>
      <w:pPr>
        <w:ind w:left="6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B3A31B6"/>
    <w:multiLevelType w:val="hybridMultilevel"/>
    <w:tmpl w:val="403CA57E"/>
    <w:lvl w:ilvl="0" w:tplc="41860244">
      <w:start w:val="1"/>
      <w:numFmt w:val="upperRoman"/>
      <w:lvlText w:val="%1."/>
      <w:lvlJc w:val="left"/>
      <w:pPr>
        <w:ind w:left="150"/>
      </w:pPr>
      <w:rPr>
        <w:rFonts w:ascii="Arial" w:eastAsia="Arial" w:hAnsi="Arial" w:cs="Arial"/>
        <w:b/>
        <w:bCs/>
        <w:i w:val="0"/>
        <w:strike w:val="0"/>
        <w:dstrike w:val="0"/>
        <w:color w:val="4BACC6" w:themeColor="accent5"/>
        <w:sz w:val="18"/>
        <w:szCs w:val="18"/>
        <w:u w:val="none" w:color="000000"/>
        <w:bdr w:val="none" w:sz="0" w:space="0" w:color="auto"/>
        <w:shd w:val="clear" w:color="auto" w:fill="auto"/>
        <w:vertAlign w:val="baseline"/>
      </w:rPr>
    </w:lvl>
    <w:lvl w:ilvl="1" w:tplc="557E19C8">
      <w:start w:val="1"/>
      <w:numFmt w:val="lowerLetter"/>
      <w:lvlText w:val="%2"/>
      <w:lvlJc w:val="left"/>
      <w:pPr>
        <w:ind w:left="12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849AB206">
      <w:start w:val="1"/>
      <w:numFmt w:val="lowerRoman"/>
      <w:lvlText w:val="%3"/>
      <w:lvlJc w:val="left"/>
      <w:pPr>
        <w:ind w:left="19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C08AABE">
      <w:start w:val="1"/>
      <w:numFmt w:val="decimal"/>
      <w:lvlText w:val="%4"/>
      <w:lvlJc w:val="left"/>
      <w:pPr>
        <w:ind w:left="26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CF0A5E32">
      <w:start w:val="1"/>
      <w:numFmt w:val="lowerLetter"/>
      <w:lvlText w:val="%5"/>
      <w:lvlJc w:val="left"/>
      <w:pPr>
        <w:ind w:left="33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32EE464C">
      <w:start w:val="1"/>
      <w:numFmt w:val="lowerRoman"/>
      <w:lvlText w:val="%6"/>
      <w:lvlJc w:val="left"/>
      <w:pPr>
        <w:ind w:left="41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5A0AB854">
      <w:start w:val="1"/>
      <w:numFmt w:val="decimal"/>
      <w:lvlText w:val="%7"/>
      <w:lvlJc w:val="left"/>
      <w:pPr>
        <w:ind w:left="48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FBC67392">
      <w:start w:val="1"/>
      <w:numFmt w:val="lowerLetter"/>
      <w:lvlText w:val="%8"/>
      <w:lvlJc w:val="left"/>
      <w:pPr>
        <w:ind w:left="55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1CD80B44">
      <w:start w:val="1"/>
      <w:numFmt w:val="lowerRoman"/>
      <w:lvlText w:val="%9"/>
      <w:lvlJc w:val="left"/>
      <w:pPr>
        <w:ind w:left="62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1821D32"/>
    <w:multiLevelType w:val="hybridMultilevel"/>
    <w:tmpl w:val="8AF8BF56"/>
    <w:lvl w:ilvl="0" w:tplc="F7228CBA">
      <w:start w:val="4"/>
      <w:numFmt w:val="upperRoman"/>
      <w:lvlText w:val="%1."/>
      <w:lvlJc w:val="left"/>
      <w:pPr>
        <w:ind w:left="288"/>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56A8D63A">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EE469B00">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F236C200">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3678FD9E">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278218F0">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28D03BEA">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F814DB4A">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6186CEFC">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4"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15:restartNumberingAfterBreak="0">
    <w:nsid w:val="52A30637"/>
    <w:multiLevelType w:val="hybridMultilevel"/>
    <w:tmpl w:val="14903AE6"/>
    <w:lvl w:ilvl="0" w:tplc="FFA27E68">
      <w:start w:val="1"/>
      <w:numFmt w:val="decimal"/>
      <w:lvlText w:val="%1."/>
      <w:lvlJc w:val="left"/>
      <w:pPr>
        <w:ind w:left="1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F68E5D5C">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16C87264">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D610B1C2">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CCC096D6">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27D6829C">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384079DA">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1BA6FD5E">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8E7E15A4">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6"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7" w15:restartNumberingAfterBreak="0">
    <w:nsid w:val="574B2947"/>
    <w:multiLevelType w:val="hybridMultilevel"/>
    <w:tmpl w:val="7BE8D256"/>
    <w:lvl w:ilvl="0" w:tplc="A7887ED6">
      <w:start w:val="1"/>
      <w:numFmt w:val="decimal"/>
      <w:lvlText w:val="%1."/>
      <w:lvlJc w:val="left"/>
      <w:pPr>
        <w:ind w:left="1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6F28F404">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E1063C6A">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1D20BF70">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DAC2D8A4">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896EE1B4">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467EBF92">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EB408032">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78A84378">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18" w15:restartNumberingAfterBreak="0">
    <w:nsid w:val="6F1D7F6E"/>
    <w:multiLevelType w:val="hybridMultilevel"/>
    <w:tmpl w:val="99028DE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9" w15:restartNumberingAfterBreak="0">
    <w:nsid w:val="71483699"/>
    <w:multiLevelType w:val="hybridMultilevel"/>
    <w:tmpl w:val="92265884"/>
    <w:lvl w:ilvl="0" w:tplc="2C0E623E">
      <w:start w:val="1"/>
      <w:numFmt w:val="upperRoman"/>
      <w:lvlText w:val="%1."/>
      <w:lvlJc w:val="left"/>
      <w:pPr>
        <w:ind w:left="1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1" w:tplc="7BA2707C">
      <w:start w:val="1"/>
      <w:numFmt w:val="lowerLetter"/>
      <w:lvlText w:val="%2"/>
      <w:lvlJc w:val="left"/>
      <w:pPr>
        <w:ind w:left="10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2" w:tplc="E592B486">
      <w:start w:val="1"/>
      <w:numFmt w:val="lowerRoman"/>
      <w:lvlText w:val="%3"/>
      <w:lvlJc w:val="left"/>
      <w:pPr>
        <w:ind w:left="18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3" w:tplc="1B7258AE">
      <w:start w:val="1"/>
      <w:numFmt w:val="decimal"/>
      <w:lvlText w:val="%4"/>
      <w:lvlJc w:val="left"/>
      <w:pPr>
        <w:ind w:left="25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4" w:tplc="822E7DC4">
      <w:start w:val="1"/>
      <w:numFmt w:val="lowerLetter"/>
      <w:lvlText w:val="%5"/>
      <w:lvlJc w:val="left"/>
      <w:pPr>
        <w:ind w:left="324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5" w:tplc="4B3493A6">
      <w:start w:val="1"/>
      <w:numFmt w:val="lowerRoman"/>
      <w:lvlText w:val="%6"/>
      <w:lvlJc w:val="left"/>
      <w:pPr>
        <w:ind w:left="396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6" w:tplc="B7A24260">
      <w:start w:val="1"/>
      <w:numFmt w:val="decimal"/>
      <w:lvlText w:val="%7"/>
      <w:lvlJc w:val="left"/>
      <w:pPr>
        <w:ind w:left="468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7" w:tplc="D3D6710E">
      <w:start w:val="1"/>
      <w:numFmt w:val="lowerLetter"/>
      <w:lvlText w:val="%8"/>
      <w:lvlJc w:val="left"/>
      <w:pPr>
        <w:ind w:left="540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lvl w:ilvl="8" w:tplc="A6A45CA6">
      <w:start w:val="1"/>
      <w:numFmt w:val="lowerRoman"/>
      <w:lvlText w:val="%9"/>
      <w:lvlJc w:val="left"/>
      <w:pPr>
        <w:ind w:left="6120"/>
      </w:pPr>
      <w:rPr>
        <w:rFonts w:ascii="Arial" w:eastAsia="Arial" w:hAnsi="Arial" w:cs="Arial"/>
        <w:b/>
        <w:bCs/>
        <w:i w:val="0"/>
        <w:strike w:val="0"/>
        <w:dstrike w:val="0"/>
        <w:color w:val="211F1F"/>
        <w:sz w:val="18"/>
        <w:szCs w:val="18"/>
        <w:u w:val="none" w:color="000000"/>
        <w:bdr w:val="none" w:sz="0" w:space="0" w:color="auto"/>
        <w:shd w:val="clear" w:color="auto" w:fill="auto"/>
        <w:vertAlign w:val="baseline"/>
      </w:rPr>
    </w:lvl>
  </w:abstractNum>
  <w:abstractNum w:abstractNumId="20"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20"/>
  </w:num>
  <w:num w:numId="5">
    <w:abstractNumId w:val="12"/>
  </w:num>
  <w:num w:numId="6">
    <w:abstractNumId w:val="9"/>
  </w:num>
  <w:num w:numId="7">
    <w:abstractNumId w:val="1"/>
  </w:num>
  <w:num w:numId="8">
    <w:abstractNumId w:val="16"/>
  </w:num>
  <w:num w:numId="9">
    <w:abstractNumId w:val="4"/>
  </w:num>
  <w:num w:numId="10">
    <w:abstractNumId w:val="0"/>
  </w:num>
  <w:num w:numId="11">
    <w:abstractNumId w:val="8"/>
  </w:num>
  <w:num w:numId="12">
    <w:abstractNumId w:val="14"/>
  </w:num>
  <w:num w:numId="13">
    <w:abstractNumId w:val="10"/>
  </w:num>
  <w:num w:numId="14">
    <w:abstractNumId w:val="6"/>
  </w:num>
  <w:num w:numId="15">
    <w:abstractNumId w:val="19"/>
  </w:num>
  <w:num w:numId="16">
    <w:abstractNumId w:val="17"/>
  </w:num>
  <w:num w:numId="17">
    <w:abstractNumId w:val="15"/>
  </w:num>
  <w:num w:numId="18">
    <w:abstractNumId w:val="13"/>
  </w:num>
  <w:num w:numId="19">
    <w:abstractNumId w:val="11"/>
  </w:num>
  <w:num w:numId="20">
    <w:abstractNumId w:val="7"/>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5CB2"/>
    <w:rsid w:val="00011E94"/>
    <w:rsid w:val="00022AD6"/>
    <w:rsid w:val="0003028A"/>
    <w:rsid w:val="00080247"/>
    <w:rsid w:val="00080E25"/>
    <w:rsid w:val="00090736"/>
    <w:rsid w:val="00090FF9"/>
    <w:rsid w:val="000A4472"/>
    <w:rsid w:val="000A4C73"/>
    <w:rsid w:val="000A4F5D"/>
    <w:rsid w:val="000B5ECE"/>
    <w:rsid w:val="000B62C2"/>
    <w:rsid w:val="000B7F7D"/>
    <w:rsid w:val="000D6BBE"/>
    <w:rsid w:val="000D71A1"/>
    <w:rsid w:val="000F05B6"/>
    <w:rsid w:val="000F3254"/>
    <w:rsid w:val="000F3F6E"/>
    <w:rsid w:val="00107646"/>
    <w:rsid w:val="00107F8A"/>
    <w:rsid w:val="00131EBD"/>
    <w:rsid w:val="00157759"/>
    <w:rsid w:val="00157AF0"/>
    <w:rsid w:val="00162EC6"/>
    <w:rsid w:val="00184E79"/>
    <w:rsid w:val="00196123"/>
    <w:rsid w:val="001A14C5"/>
    <w:rsid w:val="001A3205"/>
    <w:rsid w:val="001B2AEF"/>
    <w:rsid w:val="001C0739"/>
    <w:rsid w:val="001C1E80"/>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53570"/>
    <w:rsid w:val="00260481"/>
    <w:rsid w:val="00264CBC"/>
    <w:rsid w:val="00265B65"/>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23EF9"/>
    <w:rsid w:val="00331B9E"/>
    <w:rsid w:val="003332F1"/>
    <w:rsid w:val="00352A7B"/>
    <w:rsid w:val="00360ABE"/>
    <w:rsid w:val="0037061E"/>
    <w:rsid w:val="00372881"/>
    <w:rsid w:val="0038176B"/>
    <w:rsid w:val="00381A32"/>
    <w:rsid w:val="00383735"/>
    <w:rsid w:val="0038592D"/>
    <w:rsid w:val="0039364D"/>
    <w:rsid w:val="0039642A"/>
    <w:rsid w:val="003A0A70"/>
    <w:rsid w:val="003A0C4D"/>
    <w:rsid w:val="003C7B6F"/>
    <w:rsid w:val="003E3238"/>
    <w:rsid w:val="003E4EA6"/>
    <w:rsid w:val="00402BE9"/>
    <w:rsid w:val="00404705"/>
    <w:rsid w:val="00407A45"/>
    <w:rsid w:val="0041021C"/>
    <w:rsid w:val="00426890"/>
    <w:rsid w:val="004302FC"/>
    <w:rsid w:val="0044226A"/>
    <w:rsid w:val="004528ED"/>
    <w:rsid w:val="00453A8D"/>
    <w:rsid w:val="004659BD"/>
    <w:rsid w:val="004676F8"/>
    <w:rsid w:val="00467AA8"/>
    <w:rsid w:val="00470288"/>
    <w:rsid w:val="004711AB"/>
    <w:rsid w:val="00472502"/>
    <w:rsid w:val="0047371E"/>
    <w:rsid w:val="004739C4"/>
    <w:rsid w:val="00485806"/>
    <w:rsid w:val="00491923"/>
    <w:rsid w:val="004935E2"/>
    <w:rsid w:val="0049533B"/>
    <w:rsid w:val="004C415C"/>
    <w:rsid w:val="004C4650"/>
    <w:rsid w:val="004D0F1C"/>
    <w:rsid w:val="004D511E"/>
    <w:rsid w:val="004E386C"/>
    <w:rsid w:val="004F0206"/>
    <w:rsid w:val="004F08DC"/>
    <w:rsid w:val="004F5CDC"/>
    <w:rsid w:val="00500854"/>
    <w:rsid w:val="00515323"/>
    <w:rsid w:val="00515C6F"/>
    <w:rsid w:val="00523D76"/>
    <w:rsid w:val="005368E6"/>
    <w:rsid w:val="0053726B"/>
    <w:rsid w:val="0054206B"/>
    <w:rsid w:val="00552902"/>
    <w:rsid w:val="0055402B"/>
    <w:rsid w:val="00555BEA"/>
    <w:rsid w:val="00557692"/>
    <w:rsid w:val="00570D95"/>
    <w:rsid w:val="00571B19"/>
    <w:rsid w:val="00580B07"/>
    <w:rsid w:val="00583057"/>
    <w:rsid w:val="005A2395"/>
    <w:rsid w:val="005B45EA"/>
    <w:rsid w:val="005C208B"/>
    <w:rsid w:val="005C7BA1"/>
    <w:rsid w:val="005D2986"/>
    <w:rsid w:val="005D32BF"/>
    <w:rsid w:val="005D7E54"/>
    <w:rsid w:val="005E15B2"/>
    <w:rsid w:val="005E7A1A"/>
    <w:rsid w:val="005F6634"/>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6F697F"/>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0EB2"/>
    <w:rsid w:val="007E270C"/>
    <w:rsid w:val="007E7137"/>
    <w:rsid w:val="007E7A46"/>
    <w:rsid w:val="008024C9"/>
    <w:rsid w:val="00803BF0"/>
    <w:rsid w:val="00810456"/>
    <w:rsid w:val="00813BA7"/>
    <w:rsid w:val="00816F62"/>
    <w:rsid w:val="0082057A"/>
    <w:rsid w:val="0082703C"/>
    <w:rsid w:val="008334F5"/>
    <w:rsid w:val="00845E58"/>
    <w:rsid w:val="00850170"/>
    <w:rsid w:val="00852028"/>
    <w:rsid w:val="0085470E"/>
    <w:rsid w:val="00874C83"/>
    <w:rsid w:val="0088125B"/>
    <w:rsid w:val="00897B0C"/>
    <w:rsid w:val="008A005B"/>
    <w:rsid w:val="008A6B41"/>
    <w:rsid w:val="008B15BA"/>
    <w:rsid w:val="008C22E2"/>
    <w:rsid w:val="008D0A3C"/>
    <w:rsid w:val="008F388A"/>
    <w:rsid w:val="008F6149"/>
    <w:rsid w:val="009039C8"/>
    <w:rsid w:val="00906B75"/>
    <w:rsid w:val="009124C4"/>
    <w:rsid w:val="00913C89"/>
    <w:rsid w:val="00922275"/>
    <w:rsid w:val="0092572B"/>
    <w:rsid w:val="009363D3"/>
    <w:rsid w:val="0094536F"/>
    <w:rsid w:val="00976F0C"/>
    <w:rsid w:val="0098511D"/>
    <w:rsid w:val="009A7C5B"/>
    <w:rsid w:val="009B23C6"/>
    <w:rsid w:val="009B7254"/>
    <w:rsid w:val="009C2B81"/>
    <w:rsid w:val="009C4466"/>
    <w:rsid w:val="009C5040"/>
    <w:rsid w:val="009D0019"/>
    <w:rsid w:val="009D2BB8"/>
    <w:rsid w:val="009D3602"/>
    <w:rsid w:val="009E456E"/>
    <w:rsid w:val="009F00AF"/>
    <w:rsid w:val="00A04BCB"/>
    <w:rsid w:val="00A050F1"/>
    <w:rsid w:val="00A06A4A"/>
    <w:rsid w:val="00A24594"/>
    <w:rsid w:val="00A51A29"/>
    <w:rsid w:val="00A57ACC"/>
    <w:rsid w:val="00A61517"/>
    <w:rsid w:val="00A62F8D"/>
    <w:rsid w:val="00A630A6"/>
    <w:rsid w:val="00A7066C"/>
    <w:rsid w:val="00A75DA0"/>
    <w:rsid w:val="00A8436E"/>
    <w:rsid w:val="00A94565"/>
    <w:rsid w:val="00AA5027"/>
    <w:rsid w:val="00AB0C8A"/>
    <w:rsid w:val="00AC1F24"/>
    <w:rsid w:val="00AC335A"/>
    <w:rsid w:val="00AC53A2"/>
    <w:rsid w:val="00AD691E"/>
    <w:rsid w:val="00AE702D"/>
    <w:rsid w:val="00AF01E8"/>
    <w:rsid w:val="00AF0D89"/>
    <w:rsid w:val="00B01F57"/>
    <w:rsid w:val="00B06769"/>
    <w:rsid w:val="00B10F22"/>
    <w:rsid w:val="00B11A7E"/>
    <w:rsid w:val="00B14364"/>
    <w:rsid w:val="00B17CFE"/>
    <w:rsid w:val="00B4486D"/>
    <w:rsid w:val="00B4587C"/>
    <w:rsid w:val="00B54825"/>
    <w:rsid w:val="00B55F7C"/>
    <w:rsid w:val="00B63E0B"/>
    <w:rsid w:val="00B65ABB"/>
    <w:rsid w:val="00B71D1E"/>
    <w:rsid w:val="00B72158"/>
    <w:rsid w:val="00B7246B"/>
    <w:rsid w:val="00B73016"/>
    <w:rsid w:val="00B84B92"/>
    <w:rsid w:val="00B977AB"/>
    <w:rsid w:val="00B97928"/>
    <w:rsid w:val="00BA2344"/>
    <w:rsid w:val="00BA353F"/>
    <w:rsid w:val="00BA55C4"/>
    <w:rsid w:val="00BB031B"/>
    <w:rsid w:val="00C0019F"/>
    <w:rsid w:val="00C0023E"/>
    <w:rsid w:val="00C003C0"/>
    <w:rsid w:val="00C11926"/>
    <w:rsid w:val="00C16EC4"/>
    <w:rsid w:val="00C23535"/>
    <w:rsid w:val="00C257BC"/>
    <w:rsid w:val="00C37176"/>
    <w:rsid w:val="00C42933"/>
    <w:rsid w:val="00C66E3D"/>
    <w:rsid w:val="00C70A3F"/>
    <w:rsid w:val="00C73D19"/>
    <w:rsid w:val="00C7664A"/>
    <w:rsid w:val="00C86357"/>
    <w:rsid w:val="00C93836"/>
    <w:rsid w:val="00C96DC3"/>
    <w:rsid w:val="00CC57CD"/>
    <w:rsid w:val="00CE6391"/>
    <w:rsid w:val="00D039CC"/>
    <w:rsid w:val="00D05A2B"/>
    <w:rsid w:val="00D078E6"/>
    <w:rsid w:val="00D11CA5"/>
    <w:rsid w:val="00D13645"/>
    <w:rsid w:val="00D14E6F"/>
    <w:rsid w:val="00D21862"/>
    <w:rsid w:val="00D5290F"/>
    <w:rsid w:val="00D52D5C"/>
    <w:rsid w:val="00D550D5"/>
    <w:rsid w:val="00D7134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5219C"/>
    <w:rsid w:val="00E66DB6"/>
    <w:rsid w:val="00E6788C"/>
    <w:rsid w:val="00E828C8"/>
    <w:rsid w:val="00E903BD"/>
    <w:rsid w:val="00E94C22"/>
    <w:rsid w:val="00E955F5"/>
    <w:rsid w:val="00E95910"/>
    <w:rsid w:val="00EA3D66"/>
    <w:rsid w:val="00EB06E0"/>
    <w:rsid w:val="00EC4BDD"/>
    <w:rsid w:val="00EC6A22"/>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1A3B"/>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2D409"/>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1">
    <w:name w:val="heading 1"/>
    <w:basedOn w:val="Normal"/>
    <w:next w:val="Normal"/>
    <w:link w:val="Ttulo1Car"/>
    <w:uiPriority w:val="9"/>
    <w:qFormat/>
    <w:rsid w:val="00D14E6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customStyle="1" w:styleId="Ttulo1Car">
    <w:name w:val="Título 1 Car"/>
    <w:basedOn w:val="Fuentedeprrafopredeter"/>
    <w:link w:val="Ttulo1"/>
    <w:uiPriority w:val="9"/>
    <w:rsid w:val="00D14E6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880190-B5E8-43AA-B6B6-AEC72008D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1931</Words>
  <Characters>10625</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2017-12-21T17:11:00Z</cp:lastPrinted>
  <dcterms:created xsi:type="dcterms:W3CDTF">2018-07-18T18:08:00Z</dcterms:created>
  <dcterms:modified xsi:type="dcterms:W3CDTF">2018-07-19T15:54:00Z</dcterms:modified>
</cp:coreProperties>
</file>